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007A7AB5"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B13087">
        <w:rPr>
          <w:rFonts w:ascii="Century Gothic" w:hAnsi="Century Gothic" w:cs="Arial"/>
          <w:sz w:val="24"/>
        </w:rPr>
        <w:t>NASA Jet Propulsion Laboratory</w:t>
      </w:r>
    </w:p>
    <w:p w14:paraId="21AFF2C9" w14:textId="5A741257" w:rsidR="00BA5773" w:rsidRPr="00CB1B77" w:rsidRDefault="00B738A3" w:rsidP="00F6325C">
      <w:pPr>
        <w:spacing w:after="0" w:line="240" w:lineRule="auto"/>
        <w:jc w:val="right"/>
        <w:rPr>
          <w:rFonts w:ascii="Century Gothic" w:hAnsi="Century Gothic" w:cs="Arial"/>
          <w:i/>
        </w:rPr>
      </w:pPr>
      <w:r>
        <w:rPr>
          <w:rFonts w:ascii="Century Gothic" w:hAnsi="Century Gothic" w:cs="Arial"/>
          <w:i/>
        </w:rPr>
        <w:t xml:space="preserve">Summer </w:t>
      </w:r>
      <w:r w:rsidR="00BC6B3C" w:rsidRPr="00CB1B77">
        <w:rPr>
          <w:rFonts w:ascii="Century Gothic" w:hAnsi="Century Gothic" w:cs="Arial"/>
          <w:i/>
        </w:rPr>
        <w:t>201</w:t>
      </w:r>
      <w:r w:rsidR="008806D2" w:rsidRPr="00CB1B77">
        <w:rPr>
          <w:rFonts w:ascii="Century Gothic" w:hAnsi="Century Gothic" w:cs="Arial"/>
          <w:i/>
        </w:rPr>
        <w:t>7</w:t>
      </w:r>
    </w:p>
    <w:p w14:paraId="7601DB83" w14:textId="77777777" w:rsidR="00BA5773" w:rsidRPr="00B23EAA" w:rsidRDefault="00BA5773" w:rsidP="00BA5773">
      <w:pPr>
        <w:spacing w:after="0" w:line="240" w:lineRule="auto"/>
        <w:rPr>
          <w:rFonts w:ascii="Century Gothic" w:hAnsi="Century Gothic" w:cs="Arial"/>
          <w:b/>
        </w:rPr>
      </w:pPr>
    </w:p>
    <w:p w14:paraId="404F3045" w14:textId="41D00ABE"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2456D5">
        <w:rPr>
          <w:rFonts w:ascii="Century Gothic" w:hAnsi="Century Gothic" w:cs="Arial"/>
          <w:b/>
        </w:rPr>
        <w:t>San Francisco Bay-Delta Water Resources</w:t>
      </w:r>
    </w:p>
    <w:p w14:paraId="38FB8E53" w14:textId="7F5C0E0E"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544E6">
        <w:rPr>
          <w:rFonts w:ascii="Garamond" w:hAnsi="Garamond" w:cs="Arial"/>
        </w:rPr>
        <w:t xml:space="preserve">Utilizing NASA and ESA Earth Observations to Monitor Turbidity Conditions in the San Francisco-Bay Delta </w:t>
      </w:r>
    </w:p>
    <w:p w14:paraId="258FD607" w14:textId="5547FA9D"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bookmarkStart w:id="0" w:name="_GoBack"/>
      <w:bookmarkEnd w:id="0"/>
      <w:r w:rsidR="00C6377B">
        <w:rPr>
          <w:rFonts w:ascii="Garamond" w:hAnsi="Garamond" w:cs="Arial"/>
        </w:rPr>
        <w:t xml:space="preserve">The Delta </w:t>
      </w:r>
      <w:proofErr w:type="spellStart"/>
      <w:r w:rsidR="00C6377B">
        <w:rPr>
          <w:rFonts w:ascii="Garamond" w:hAnsi="Garamond" w:cs="Arial"/>
        </w:rPr>
        <w:t>Smeltdown</w:t>
      </w:r>
      <w:proofErr w:type="spellEnd"/>
      <w:r w:rsidR="00F876B4">
        <w:rPr>
          <w:rFonts w:ascii="Garamond" w:hAnsi="Garamond" w:cs="Arial"/>
        </w:rPr>
        <w:t>: Monitoring Turbidity to Aid Delta Smelt Conservation</w:t>
      </w:r>
    </w:p>
    <w:p w14:paraId="5616EDD8" w14:textId="3954A795"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w:t>
      </w:r>
    </w:p>
    <w:p w14:paraId="48AF6098" w14:textId="77777777" w:rsidR="00E80174" w:rsidRPr="009562D8" w:rsidRDefault="00D579FC"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Project</w:t>
      </w:r>
      <w:r w:rsidR="00E507D0" w:rsidRPr="009562D8">
        <w:rPr>
          <w:rFonts w:ascii="Century Gothic" w:hAnsi="Century Gothic" w:cs="Arial"/>
          <w:b/>
          <w:sz w:val="20"/>
          <w:szCs w:val="20"/>
        </w:rPr>
        <w:t xml:space="preserve"> </w:t>
      </w:r>
      <w:r w:rsidR="00E80174" w:rsidRPr="009562D8">
        <w:rPr>
          <w:rFonts w:ascii="Century Gothic" w:hAnsi="Century Gothic" w:cs="Arial"/>
          <w:b/>
          <w:sz w:val="20"/>
          <w:szCs w:val="20"/>
        </w:rPr>
        <w:t>Team:</w:t>
      </w:r>
    </w:p>
    <w:p w14:paraId="6B901898" w14:textId="207255CD" w:rsidR="00E507D0" w:rsidRPr="009562D8" w:rsidRDefault="00F276EE" w:rsidP="00BA5773">
      <w:pPr>
        <w:spacing w:after="0" w:line="240" w:lineRule="auto"/>
        <w:rPr>
          <w:rFonts w:ascii="Garamond" w:hAnsi="Garamond" w:cs="Arial"/>
        </w:rPr>
      </w:pPr>
      <w:r>
        <w:rPr>
          <w:rFonts w:ascii="Garamond" w:hAnsi="Garamond" w:cs="Arial"/>
        </w:rPr>
        <w:t>Katherine Cavanaugh (cavaka01@gmail.com)</w:t>
      </w:r>
    </w:p>
    <w:p w14:paraId="3DC2C562" w14:textId="5645D759" w:rsidR="00F276EE" w:rsidRDefault="00F276EE" w:rsidP="00BA5773">
      <w:pPr>
        <w:spacing w:after="0" w:line="240" w:lineRule="auto"/>
        <w:rPr>
          <w:rFonts w:ascii="Garamond" w:hAnsi="Garamond" w:cs="Arial"/>
        </w:rPr>
      </w:pPr>
      <w:r>
        <w:rPr>
          <w:rFonts w:ascii="Garamond" w:hAnsi="Garamond" w:cs="Arial"/>
        </w:rPr>
        <w:t xml:space="preserve">Leah Kucera </w:t>
      </w:r>
    </w:p>
    <w:p w14:paraId="7432A737" w14:textId="5063609A" w:rsidR="00F276EE" w:rsidRPr="009562D8" w:rsidRDefault="00F276EE" w:rsidP="00BA5773">
      <w:pPr>
        <w:spacing w:after="0" w:line="240" w:lineRule="auto"/>
        <w:rPr>
          <w:rFonts w:ascii="Garamond" w:hAnsi="Garamond" w:cs="Arial"/>
        </w:rPr>
      </w:pPr>
      <w:r>
        <w:rPr>
          <w:rFonts w:ascii="Garamond" w:hAnsi="Garamond" w:cs="Arial"/>
        </w:rPr>
        <w:t>Molly Spater</w:t>
      </w:r>
    </w:p>
    <w:p w14:paraId="09671D35" w14:textId="77777777" w:rsidR="002E4378" w:rsidRPr="009562D8" w:rsidRDefault="002E4378" w:rsidP="00BA5773">
      <w:pPr>
        <w:spacing w:after="0" w:line="240" w:lineRule="auto"/>
        <w:rPr>
          <w:rFonts w:ascii="Century Gothic" w:hAnsi="Century Gothic" w:cs="Arial"/>
          <w:sz w:val="20"/>
          <w:szCs w:val="20"/>
        </w:rPr>
      </w:pPr>
    </w:p>
    <w:p w14:paraId="53D8263C" w14:textId="77777777" w:rsidR="002E4378" w:rsidRPr="009562D8" w:rsidRDefault="002E4378" w:rsidP="00BA5773">
      <w:pPr>
        <w:spacing w:after="0" w:line="240" w:lineRule="auto"/>
        <w:rPr>
          <w:rFonts w:ascii="Century Gothic" w:hAnsi="Century Gothic" w:cs="Arial"/>
          <w:b/>
          <w:sz w:val="20"/>
          <w:szCs w:val="20"/>
        </w:rPr>
      </w:pPr>
      <w:r w:rsidRPr="009562D8">
        <w:rPr>
          <w:rFonts w:ascii="Century Gothic" w:hAnsi="Century Gothic" w:cs="Arial"/>
          <w:b/>
          <w:sz w:val="20"/>
          <w:szCs w:val="20"/>
        </w:rPr>
        <w:t>Advisors &amp; Mentors:</w:t>
      </w:r>
    </w:p>
    <w:p w14:paraId="13CB1C07" w14:textId="77777777" w:rsidR="00F276EE" w:rsidRDefault="00F276EE" w:rsidP="00F276EE">
      <w:pPr>
        <w:spacing w:after="0" w:line="240" w:lineRule="auto"/>
        <w:rPr>
          <w:rFonts w:ascii="Garamond" w:hAnsi="Garamond" w:cs="Arial"/>
        </w:rPr>
      </w:pPr>
      <w:r>
        <w:rPr>
          <w:rFonts w:ascii="Garamond" w:hAnsi="Garamond" w:cs="Arial"/>
        </w:rPr>
        <w:t>Christine Lee (NASA Jet Propulsion Laboratory, California Institute of Technology)</w:t>
      </w:r>
    </w:p>
    <w:p w14:paraId="5AAE9920" w14:textId="77777777" w:rsidR="00F276EE" w:rsidRDefault="00F276EE" w:rsidP="00F276EE">
      <w:pPr>
        <w:spacing w:after="0" w:line="240" w:lineRule="auto"/>
        <w:rPr>
          <w:rFonts w:ascii="Garamond" w:hAnsi="Garamond" w:cs="Arial"/>
        </w:rPr>
      </w:pPr>
      <w:r>
        <w:rPr>
          <w:rFonts w:ascii="Garamond" w:hAnsi="Garamond" w:cs="Arial"/>
        </w:rPr>
        <w:t>Michelle Gierach (NASA Jet Propulsion Laboratory, California Institute of Technology)</w:t>
      </w:r>
    </w:p>
    <w:p w14:paraId="33236010" w14:textId="48F43054" w:rsidR="00E80174" w:rsidRPr="009562D8" w:rsidRDefault="00F276EE" w:rsidP="00F276EE">
      <w:pPr>
        <w:spacing w:after="0" w:line="240" w:lineRule="auto"/>
        <w:rPr>
          <w:rFonts w:ascii="Garamond" w:hAnsi="Garamond" w:cs="Arial"/>
        </w:rPr>
      </w:pPr>
      <w:r>
        <w:rPr>
          <w:rFonts w:ascii="Garamond" w:hAnsi="Garamond" w:cs="Arial"/>
        </w:rPr>
        <w:t xml:space="preserve">Nick </w:t>
      </w:r>
      <w:proofErr w:type="spellStart"/>
      <w:r>
        <w:rPr>
          <w:rFonts w:ascii="Garamond" w:hAnsi="Garamond" w:cs="Arial"/>
        </w:rPr>
        <w:t>Tufillaro</w:t>
      </w:r>
      <w:proofErr w:type="spellEnd"/>
      <w:r>
        <w:rPr>
          <w:rFonts w:ascii="Garamond" w:hAnsi="Garamond" w:cs="Arial"/>
        </w:rPr>
        <w:t xml:space="preserve"> (</w:t>
      </w:r>
      <w:r w:rsidR="00A557E5">
        <w:rPr>
          <w:rFonts w:ascii="Garamond" w:hAnsi="Garamond" w:cs="Arial"/>
        </w:rPr>
        <w:t xml:space="preserve">Oregon State University, </w:t>
      </w:r>
      <w:r>
        <w:rPr>
          <w:rFonts w:ascii="Garamond" w:hAnsi="Garamond" w:cs="Arial"/>
        </w:rPr>
        <w:t>College of Earth, Ocean, and Atmospheric Sciences)</w:t>
      </w:r>
    </w:p>
    <w:p w14:paraId="1EA04E12" w14:textId="77777777" w:rsidR="00A22A42" w:rsidRPr="009562D8" w:rsidRDefault="00A22A42" w:rsidP="00677CB8">
      <w:pPr>
        <w:spacing w:after="0" w:line="240" w:lineRule="auto"/>
        <w:rPr>
          <w:rFonts w:ascii="Century Gothic" w:hAnsi="Century Gothic" w:cs="Arial"/>
        </w:rPr>
      </w:pPr>
    </w:p>
    <w:p w14:paraId="2A1C405E" w14:textId="77777777" w:rsidR="00E33287" w:rsidRPr="00603BB8" w:rsidRDefault="00E33287" w:rsidP="00E33287">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8DE1371" w14:textId="77777777" w:rsidR="00E33287" w:rsidRPr="00D579FC" w:rsidRDefault="00E33287" w:rsidP="00E33287">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15D3CD4E" w14:textId="02BF3841" w:rsidR="009C6698" w:rsidRPr="009C6698" w:rsidRDefault="009C6698" w:rsidP="009C6698">
      <w:pPr>
        <w:spacing w:after="0" w:line="240" w:lineRule="auto"/>
        <w:rPr>
          <w:rFonts w:ascii="Garamond" w:hAnsi="Garamond"/>
          <w:sz w:val="24"/>
          <w:szCs w:val="24"/>
        </w:rPr>
      </w:pPr>
      <w:r w:rsidRPr="009C6698">
        <w:rPr>
          <w:rFonts w:ascii="Garamond" w:hAnsi="Garamond"/>
          <w:color w:val="000000"/>
        </w:rPr>
        <w:t>Working with the Metropolitan Water District of Southern California (MWD), this project aims to study turbidity distribution within the San Francisco Bay-Delta. Water from the Bay is diverted through a system of dams and canals to be utilized for agricultural and municipal purposes, with pumping facilities in the southern portion of the Delta altering natural currents and sediment transport. In turn various species</w:t>
      </w:r>
      <w:r w:rsidR="00A557E5">
        <w:rPr>
          <w:rFonts w:ascii="Garamond" w:hAnsi="Garamond"/>
          <w:color w:val="000000"/>
        </w:rPr>
        <w:t xml:space="preserve">, </w:t>
      </w:r>
      <w:r w:rsidRPr="009C6698">
        <w:rPr>
          <w:rFonts w:ascii="Garamond" w:hAnsi="Garamond"/>
          <w:color w:val="000000"/>
        </w:rPr>
        <w:t>including the threatened Delta smelt</w:t>
      </w:r>
      <w:r w:rsidR="00A557E5">
        <w:rPr>
          <w:rFonts w:ascii="Garamond" w:hAnsi="Garamond"/>
          <w:color w:val="000000"/>
        </w:rPr>
        <w:t xml:space="preserve">, </w:t>
      </w:r>
      <w:r w:rsidRPr="009C6698">
        <w:rPr>
          <w:rFonts w:ascii="Garamond" w:hAnsi="Garamond"/>
          <w:color w:val="000000"/>
        </w:rPr>
        <w:t xml:space="preserve">are being carried southward or entrained. Because Delta smelt distribution is </w:t>
      </w:r>
      <w:r w:rsidR="006E19D7">
        <w:rPr>
          <w:rFonts w:ascii="Garamond" w:hAnsi="Garamond"/>
          <w:color w:val="000000"/>
        </w:rPr>
        <w:t>positively</w:t>
      </w:r>
      <w:r w:rsidRPr="009C6698">
        <w:rPr>
          <w:rFonts w:ascii="Garamond" w:hAnsi="Garamond"/>
          <w:color w:val="000000"/>
        </w:rPr>
        <w:t xml:space="preserve"> correlated with turbid waters, monitoring Bay-Delta turbidity may enable more efficient management of pump operations to ensure higher smelt salvage.</w:t>
      </w:r>
    </w:p>
    <w:p w14:paraId="05AD6B2E" w14:textId="77777777" w:rsidR="00E33287" w:rsidRDefault="00E33287" w:rsidP="00E33287">
      <w:pPr>
        <w:spacing w:after="0" w:line="240" w:lineRule="auto"/>
        <w:rPr>
          <w:rFonts w:ascii="Century Gothic" w:hAnsi="Century Gothic" w:cs="Arial"/>
          <w:b/>
          <w:sz w:val="20"/>
          <w:szCs w:val="20"/>
        </w:rPr>
      </w:pPr>
    </w:p>
    <w:p w14:paraId="68F57649"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Pr>
          <w:rFonts w:ascii="Century Gothic" w:hAnsi="Century Gothic" w:cs="Arial"/>
          <w:b/>
          <w:sz w:val="20"/>
          <w:szCs w:val="20"/>
        </w:rPr>
        <w:t>:</w:t>
      </w:r>
    </w:p>
    <w:p w14:paraId="7B89297C" w14:textId="77777777" w:rsidR="00C6377B" w:rsidRPr="009D1D49" w:rsidRDefault="00C6377B" w:rsidP="00C6377B">
      <w:pPr>
        <w:spacing w:after="0" w:line="240" w:lineRule="auto"/>
        <w:rPr>
          <w:rFonts w:ascii="Times New Roman" w:eastAsia="Times New Roman" w:hAnsi="Times New Roman"/>
          <w:sz w:val="24"/>
          <w:szCs w:val="24"/>
        </w:rPr>
      </w:pPr>
      <w:r w:rsidRPr="009D1D49">
        <w:rPr>
          <w:rFonts w:ascii="Garamond" w:eastAsia="Times New Roman" w:hAnsi="Garamond"/>
          <w:color w:val="000000"/>
        </w:rPr>
        <w:t xml:space="preserve">Water quality is a critical element of freshwater supply, particularly in times and areas of drought. Limited water resources can be further strained if water quality concerns are not effectively and efficiently addressed. While there are measures in place to protect human and environmental health from poor and risky water quality conditions, implementation of these measures </w:t>
      </w:r>
      <w:r>
        <w:rPr>
          <w:rFonts w:ascii="Garamond" w:eastAsia="Times New Roman" w:hAnsi="Garamond"/>
          <w:color w:val="000000"/>
        </w:rPr>
        <w:t>is</w:t>
      </w:r>
      <w:r w:rsidRPr="009D1D49">
        <w:rPr>
          <w:rFonts w:ascii="Garamond" w:eastAsia="Times New Roman" w:hAnsi="Garamond"/>
          <w:color w:val="000000"/>
        </w:rPr>
        <w:t xml:space="preserve"> frequently reliant on physical water samples and fixed station data, both of which have gaps in spatial and temporal coverage of water quality conditions. This consideration is especially important in environments that are highly complex and heterogeneous</w:t>
      </w:r>
      <w:r>
        <w:rPr>
          <w:rFonts w:ascii="Garamond" w:eastAsia="Times New Roman" w:hAnsi="Garamond"/>
          <w:color w:val="000000"/>
        </w:rPr>
        <w:t>,</w:t>
      </w:r>
      <w:r w:rsidRPr="009D1D49">
        <w:rPr>
          <w:rFonts w:ascii="Garamond" w:eastAsia="Times New Roman" w:hAnsi="Garamond"/>
          <w:color w:val="000000"/>
        </w:rPr>
        <w:t xml:space="preserve"> such as the San Francisco Bay Delta, as well as in budget-constrained areas or sites that are remote and are challenging to access. Remotely sensed information can help supplement existing data</w:t>
      </w:r>
      <w:r>
        <w:rPr>
          <w:rFonts w:ascii="Garamond" w:eastAsia="Times New Roman" w:hAnsi="Garamond"/>
          <w:color w:val="000000"/>
        </w:rPr>
        <w:t>,</w:t>
      </w:r>
      <w:r w:rsidRPr="009D1D49">
        <w:rPr>
          <w:rFonts w:ascii="Garamond" w:eastAsia="Times New Roman" w:hAnsi="Garamond"/>
          <w:color w:val="000000"/>
        </w:rPr>
        <w:t xml:space="preserve"> </w:t>
      </w:r>
      <w:r>
        <w:rPr>
          <w:rFonts w:ascii="Garamond" w:eastAsia="Times New Roman" w:hAnsi="Garamond"/>
          <w:color w:val="000000"/>
        </w:rPr>
        <w:t>supporting more</w:t>
      </w:r>
      <w:r w:rsidRPr="009D1D49">
        <w:rPr>
          <w:rFonts w:ascii="Garamond" w:eastAsia="Times New Roman" w:hAnsi="Garamond"/>
          <w:color w:val="000000"/>
        </w:rPr>
        <w:t xml:space="preserve"> informed water management practices and represent</w:t>
      </w:r>
      <w:r>
        <w:rPr>
          <w:rFonts w:ascii="Garamond" w:eastAsia="Times New Roman" w:hAnsi="Garamond"/>
          <w:color w:val="000000"/>
        </w:rPr>
        <w:t>ing</w:t>
      </w:r>
      <w:r w:rsidRPr="009D1D49">
        <w:rPr>
          <w:rFonts w:ascii="Garamond" w:eastAsia="Times New Roman" w:hAnsi="Garamond"/>
          <w:color w:val="000000"/>
        </w:rPr>
        <w:t xml:space="preserve"> a wealth of information that has yet to be fully leveraged. In this project, we evaluated the application of remote sensing-derived turbidity from three Earth observing satellites in the San Francisco Bay-Delta and conducted comparisons with </w:t>
      </w:r>
      <w:r w:rsidRPr="009D1D49">
        <w:rPr>
          <w:rFonts w:ascii="Garamond" w:eastAsia="Times New Roman" w:hAnsi="Garamond"/>
          <w:i/>
          <w:iCs/>
          <w:color w:val="000000"/>
        </w:rPr>
        <w:t>in situ</w:t>
      </w:r>
      <w:r w:rsidRPr="009D1D49">
        <w:rPr>
          <w:rFonts w:ascii="Garamond" w:eastAsia="Times New Roman" w:hAnsi="Garamond"/>
          <w:color w:val="000000"/>
        </w:rPr>
        <w:t xml:space="preserve"> turbidity data from USGS and CDEC water quality stations. </w:t>
      </w:r>
      <w:r w:rsidRPr="00B63021">
        <w:rPr>
          <w:rFonts w:ascii="Garamond" w:eastAsia="Times New Roman" w:hAnsi="Garamond"/>
          <w:color w:val="000000"/>
        </w:rPr>
        <w:t>The Semi-Empirical Single Band Turbidity Algorithm yielded a 1:1 relationship with in situ turbidity when calculated values were less than 15 to 20 FNU. This relationship did not extend to higher turbidity values, which yielded significantly lower slopes. Incorporating site-specific constants into the algorithm to correct for this deviation must be explored further. Sentinel-2 was the only satellite able to pick up turbidity values in the smaller tributaries of the Bay-Delta</w:t>
      </w:r>
      <w:r>
        <w:rPr>
          <w:rFonts w:ascii="Garamond" w:eastAsia="Times New Roman" w:hAnsi="Garamond"/>
          <w:color w:val="000000"/>
        </w:rPr>
        <w:t>.</w:t>
      </w:r>
    </w:p>
    <w:p w14:paraId="6D8EC0BE" w14:textId="77777777" w:rsidR="00E33287" w:rsidRPr="00E049B6" w:rsidRDefault="00E33287" w:rsidP="00E33287">
      <w:pPr>
        <w:spacing w:after="0" w:line="240" w:lineRule="auto"/>
        <w:rPr>
          <w:rFonts w:ascii="Garamond" w:hAnsi="Garamond" w:cs="Arial"/>
        </w:rPr>
      </w:pPr>
    </w:p>
    <w:p w14:paraId="1C48EEAC" w14:textId="77777777" w:rsidR="004610EE" w:rsidRDefault="004610EE" w:rsidP="00E33287">
      <w:pPr>
        <w:spacing w:after="0" w:line="240" w:lineRule="auto"/>
        <w:rPr>
          <w:rFonts w:ascii="Century Gothic" w:hAnsi="Century Gothic" w:cs="Arial"/>
          <w:sz w:val="20"/>
          <w:szCs w:val="20"/>
        </w:rPr>
      </w:pPr>
    </w:p>
    <w:p w14:paraId="73348CEB" w14:textId="77777777" w:rsidR="004D64E2" w:rsidRDefault="004D64E2" w:rsidP="00E33287">
      <w:pPr>
        <w:spacing w:after="0" w:line="240" w:lineRule="auto"/>
        <w:rPr>
          <w:rFonts w:ascii="Century Gothic" w:hAnsi="Century Gothic" w:cs="Arial"/>
          <w:sz w:val="20"/>
          <w:szCs w:val="20"/>
        </w:rPr>
      </w:pPr>
    </w:p>
    <w:p w14:paraId="18851C75" w14:textId="77777777" w:rsidR="00E33287" w:rsidRDefault="00E33287" w:rsidP="00E33287">
      <w:pPr>
        <w:spacing w:after="0" w:line="240" w:lineRule="auto"/>
        <w:rPr>
          <w:rFonts w:ascii="Century Gothic" w:hAnsi="Century Gothic" w:cs="Arial"/>
          <w:b/>
          <w:sz w:val="20"/>
          <w:szCs w:val="20"/>
        </w:rPr>
      </w:pPr>
      <w:r>
        <w:rPr>
          <w:rFonts w:ascii="Century Gothic" w:hAnsi="Century Gothic" w:cs="Arial"/>
          <w:b/>
          <w:sz w:val="20"/>
          <w:szCs w:val="20"/>
        </w:rPr>
        <w:t>Keywords:</w:t>
      </w:r>
    </w:p>
    <w:p w14:paraId="45A1697A" w14:textId="2D10802E" w:rsidR="00E33287" w:rsidRPr="00B46F89" w:rsidRDefault="00C76EA6" w:rsidP="00E33287">
      <w:pPr>
        <w:spacing w:after="0" w:line="240" w:lineRule="auto"/>
        <w:rPr>
          <w:rFonts w:ascii="Century Gothic" w:hAnsi="Century Gothic" w:cs="Arial"/>
          <w:sz w:val="20"/>
          <w:szCs w:val="20"/>
        </w:rPr>
      </w:pPr>
      <w:r>
        <w:rPr>
          <w:rFonts w:ascii="Garamond" w:hAnsi="Garamond" w:cs="Arial"/>
        </w:rPr>
        <w:t xml:space="preserve">Turbidity, </w:t>
      </w:r>
      <w:r w:rsidR="00A557E5">
        <w:rPr>
          <w:rFonts w:ascii="Garamond" w:hAnsi="Garamond" w:cs="Arial"/>
        </w:rPr>
        <w:t>s</w:t>
      </w:r>
      <w:r>
        <w:rPr>
          <w:rFonts w:ascii="Garamond" w:hAnsi="Garamond" w:cs="Arial"/>
        </w:rPr>
        <w:t xml:space="preserve">melt, </w:t>
      </w:r>
      <w:r w:rsidR="00A557E5">
        <w:rPr>
          <w:rFonts w:ascii="Garamond" w:hAnsi="Garamond" w:cs="Arial"/>
        </w:rPr>
        <w:t xml:space="preserve">San Francisco </w:t>
      </w:r>
      <w:r>
        <w:rPr>
          <w:rFonts w:ascii="Garamond" w:hAnsi="Garamond" w:cs="Arial"/>
        </w:rPr>
        <w:t xml:space="preserve">Bay-Delta, </w:t>
      </w:r>
      <w:r w:rsidR="00A557E5">
        <w:rPr>
          <w:rFonts w:ascii="Garamond" w:hAnsi="Garamond" w:cs="Arial"/>
        </w:rPr>
        <w:t>w</w:t>
      </w:r>
      <w:r>
        <w:rPr>
          <w:rFonts w:ascii="Garamond" w:hAnsi="Garamond" w:cs="Arial"/>
        </w:rPr>
        <w:t xml:space="preserve">ater </w:t>
      </w:r>
      <w:r w:rsidR="00A557E5">
        <w:rPr>
          <w:rFonts w:ascii="Garamond" w:hAnsi="Garamond" w:cs="Arial"/>
        </w:rPr>
        <w:t>q</w:t>
      </w:r>
      <w:r>
        <w:rPr>
          <w:rFonts w:ascii="Garamond" w:hAnsi="Garamond" w:cs="Arial"/>
        </w:rPr>
        <w:t>uality, Landsat 8, Sentinel-2, Sentinel-3</w:t>
      </w:r>
    </w:p>
    <w:p w14:paraId="5C585744" w14:textId="77777777" w:rsidR="00E33287" w:rsidRDefault="00E33287" w:rsidP="00E33287">
      <w:pPr>
        <w:spacing w:after="0" w:line="240" w:lineRule="auto"/>
        <w:rPr>
          <w:rFonts w:ascii="Century Gothic" w:hAnsi="Century Gothic" w:cs="Arial"/>
          <w:b/>
          <w:sz w:val="20"/>
          <w:szCs w:val="20"/>
        </w:rPr>
      </w:pPr>
    </w:p>
    <w:p w14:paraId="6F86F748" w14:textId="77777777" w:rsidR="00EA38B9" w:rsidRPr="009B05DD" w:rsidRDefault="00EA38B9" w:rsidP="00EA38B9">
      <w:pPr>
        <w:spacing w:after="0" w:line="240" w:lineRule="auto"/>
        <w:rPr>
          <w:rFonts w:ascii="Century Gothic" w:hAnsi="Century Gothic" w:cs="Arial"/>
          <w:sz w:val="20"/>
          <w:szCs w:val="20"/>
        </w:rPr>
      </w:pPr>
      <w:r w:rsidRPr="009B05DD">
        <w:rPr>
          <w:rFonts w:ascii="Century Gothic" w:hAnsi="Century Gothic" w:cs="Arial"/>
          <w:b/>
          <w:sz w:val="20"/>
          <w:szCs w:val="20"/>
        </w:rPr>
        <w:t>Partner Organizations:</w:t>
      </w:r>
    </w:p>
    <w:tbl>
      <w:tblPr>
        <w:tblStyle w:val="TableGrid1"/>
        <w:tblW w:w="9373" w:type="dxa"/>
        <w:tblInd w:w="-5" w:type="dxa"/>
        <w:tblLayout w:type="fixed"/>
        <w:tblLook w:val="04A0" w:firstRow="1" w:lastRow="0" w:firstColumn="1" w:lastColumn="0" w:noHBand="0" w:noVBand="1"/>
      </w:tblPr>
      <w:tblGrid>
        <w:gridCol w:w="3094"/>
        <w:gridCol w:w="3549"/>
        <w:gridCol w:w="1457"/>
        <w:gridCol w:w="1273"/>
      </w:tblGrid>
      <w:tr w:rsidR="00EA38B9" w:rsidRPr="00720DF2" w14:paraId="016F2EA3" w14:textId="77777777" w:rsidTr="00C76EA6">
        <w:trPr>
          <w:trHeight w:val="414"/>
        </w:trPr>
        <w:tc>
          <w:tcPr>
            <w:tcW w:w="3094" w:type="dxa"/>
            <w:shd w:val="clear" w:color="auto" w:fill="31849B" w:themeFill="accent5" w:themeFillShade="BF"/>
            <w:vAlign w:val="center"/>
          </w:tcPr>
          <w:p w14:paraId="27C987C2"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Organization</w:t>
            </w:r>
          </w:p>
        </w:tc>
        <w:tc>
          <w:tcPr>
            <w:tcW w:w="3549" w:type="dxa"/>
            <w:shd w:val="clear" w:color="auto" w:fill="31849B" w:themeFill="accent5" w:themeFillShade="BF"/>
            <w:vAlign w:val="center"/>
          </w:tcPr>
          <w:p w14:paraId="7969E807"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POC (Name, Position/Title)</w:t>
            </w:r>
          </w:p>
        </w:tc>
        <w:tc>
          <w:tcPr>
            <w:tcW w:w="1457" w:type="dxa"/>
            <w:shd w:val="clear" w:color="auto" w:fill="31849B" w:themeFill="accent5" w:themeFillShade="BF"/>
            <w:vAlign w:val="center"/>
          </w:tcPr>
          <w:p w14:paraId="6EF74A7A"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Partner Type</w:t>
            </w:r>
          </w:p>
        </w:tc>
        <w:tc>
          <w:tcPr>
            <w:tcW w:w="1273" w:type="dxa"/>
            <w:shd w:val="clear" w:color="auto" w:fill="31849B" w:themeFill="accent5" w:themeFillShade="BF"/>
          </w:tcPr>
          <w:p w14:paraId="1FF126EE" w14:textId="77777777" w:rsidR="00EA38B9" w:rsidRPr="006D573E" w:rsidRDefault="00EA38B9" w:rsidP="006D573E">
            <w:pPr>
              <w:spacing w:after="0" w:line="240" w:lineRule="auto"/>
              <w:jc w:val="center"/>
              <w:rPr>
                <w:b/>
                <w:color w:val="FFFFFF" w:themeColor="background1"/>
                <w:sz w:val="20"/>
                <w:szCs w:val="20"/>
              </w:rPr>
            </w:pPr>
            <w:r w:rsidRPr="006D573E">
              <w:rPr>
                <w:b/>
                <w:color w:val="FFFFFF" w:themeColor="background1"/>
                <w:sz w:val="20"/>
                <w:szCs w:val="20"/>
              </w:rPr>
              <w:t>Boundary Org?</w:t>
            </w:r>
          </w:p>
        </w:tc>
      </w:tr>
      <w:tr w:rsidR="00EA38B9" w:rsidRPr="00720DF2" w14:paraId="7045C90A" w14:textId="77777777" w:rsidTr="00C76EA6">
        <w:trPr>
          <w:trHeight w:val="228"/>
        </w:trPr>
        <w:tc>
          <w:tcPr>
            <w:tcW w:w="3094" w:type="dxa"/>
          </w:tcPr>
          <w:p w14:paraId="215CE335" w14:textId="6D1222AD" w:rsidR="00EA38B9" w:rsidRPr="008806D2" w:rsidRDefault="00C76EA6" w:rsidP="000A0775">
            <w:pPr>
              <w:spacing w:after="0" w:line="240" w:lineRule="auto"/>
              <w:rPr>
                <w:rFonts w:ascii="Garamond" w:hAnsi="Garamond"/>
              </w:rPr>
            </w:pPr>
            <w:r>
              <w:rPr>
                <w:rFonts w:ascii="Garamond" w:hAnsi="Garamond"/>
              </w:rPr>
              <w:t>Metropolitan Water District of Southern California (MWD)</w:t>
            </w:r>
          </w:p>
        </w:tc>
        <w:tc>
          <w:tcPr>
            <w:tcW w:w="3549" w:type="dxa"/>
          </w:tcPr>
          <w:p w14:paraId="03852061" w14:textId="0E5AD933" w:rsidR="00C76EA6" w:rsidRPr="008806D2" w:rsidRDefault="00C76EA6" w:rsidP="000A0775">
            <w:pPr>
              <w:spacing w:after="0" w:line="240" w:lineRule="auto"/>
              <w:rPr>
                <w:rFonts w:ascii="Garamond" w:hAnsi="Garamond"/>
              </w:rPr>
            </w:pPr>
            <w:r>
              <w:rPr>
                <w:rFonts w:ascii="Garamond" w:hAnsi="Garamond"/>
              </w:rPr>
              <w:t>Dr. David Fullerton, Principal Resource Specialist</w:t>
            </w:r>
            <w:r w:rsidR="00A557E5">
              <w:rPr>
                <w:rFonts w:ascii="Garamond" w:hAnsi="Garamond"/>
              </w:rPr>
              <w:t xml:space="preserve">, </w:t>
            </w:r>
            <w:r>
              <w:rPr>
                <w:rFonts w:ascii="Garamond" w:hAnsi="Garamond"/>
              </w:rPr>
              <w:t>Dr. Shawn Acuna, Environmental Scientist</w:t>
            </w:r>
            <w:r w:rsidR="00A557E5">
              <w:rPr>
                <w:rFonts w:ascii="Garamond" w:hAnsi="Garamond"/>
              </w:rPr>
              <w:t xml:space="preserve">, </w:t>
            </w:r>
            <w:r>
              <w:rPr>
                <w:rFonts w:ascii="Garamond" w:hAnsi="Garamond"/>
              </w:rPr>
              <w:t>Russell Ryan, Senior Engineer</w:t>
            </w:r>
          </w:p>
        </w:tc>
        <w:tc>
          <w:tcPr>
            <w:tcW w:w="1457" w:type="dxa"/>
          </w:tcPr>
          <w:p w14:paraId="2537EA17" w14:textId="706C7795" w:rsidR="00EA38B9" w:rsidRPr="008806D2" w:rsidRDefault="002105FE" w:rsidP="000A0775">
            <w:pPr>
              <w:spacing w:after="0" w:line="240" w:lineRule="auto"/>
              <w:rPr>
                <w:rFonts w:ascii="Garamond" w:hAnsi="Garamond"/>
              </w:rPr>
            </w:pPr>
            <w:r>
              <w:rPr>
                <w:rFonts w:ascii="Garamond" w:hAnsi="Garamond"/>
              </w:rPr>
              <w:t xml:space="preserve">End </w:t>
            </w:r>
            <w:r w:rsidR="00EA38B9" w:rsidRPr="008806D2">
              <w:rPr>
                <w:rFonts w:ascii="Garamond" w:hAnsi="Garamond"/>
              </w:rPr>
              <w:t>User</w:t>
            </w:r>
          </w:p>
        </w:tc>
        <w:tc>
          <w:tcPr>
            <w:tcW w:w="1273" w:type="dxa"/>
          </w:tcPr>
          <w:p w14:paraId="6D1C4311" w14:textId="20297EC8" w:rsidR="00EA38B9" w:rsidRPr="008806D2" w:rsidRDefault="00EA38B9" w:rsidP="000A0775">
            <w:pPr>
              <w:spacing w:after="0" w:line="240" w:lineRule="auto"/>
              <w:jc w:val="center"/>
              <w:rPr>
                <w:rFonts w:ascii="Garamond" w:hAnsi="Garamond"/>
              </w:rPr>
            </w:pPr>
            <w:r w:rsidRPr="008806D2">
              <w:rPr>
                <w:rFonts w:ascii="Garamond" w:hAnsi="Garamond"/>
              </w:rPr>
              <w:t>Yes</w:t>
            </w:r>
          </w:p>
        </w:tc>
      </w:tr>
    </w:tbl>
    <w:p w14:paraId="79954BB9" w14:textId="494ECDC4" w:rsidR="00EA38B9" w:rsidRDefault="00EA38B9" w:rsidP="00E33287">
      <w:pPr>
        <w:spacing w:after="0" w:line="240" w:lineRule="auto"/>
        <w:rPr>
          <w:rFonts w:ascii="Century Gothic" w:hAnsi="Century Gothic" w:cs="Arial"/>
          <w:b/>
          <w:sz w:val="20"/>
          <w:szCs w:val="20"/>
        </w:rPr>
      </w:pPr>
    </w:p>
    <w:p w14:paraId="4418C5C3"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Pr>
          <w:rFonts w:ascii="Century Gothic" w:hAnsi="Century Gothic" w:cs="Arial"/>
          <w:b/>
          <w:sz w:val="20"/>
          <w:szCs w:val="20"/>
        </w:rPr>
        <w:t>:</w:t>
      </w:r>
    </w:p>
    <w:p w14:paraId="6BBCC681" w14:textId="4E4B3AA4" w:rsidR="00E33287" w:rsidRDefault="00C76EA6" w:rsidP="00E33287">
      <w:pPr>
        <w:pStyle w:val="ListParagraph"/>
        <w:numPr>
          <w:ilvl w:val="0"/>
          <w:numId w:val="1"/>
        </w:numPr>
        <w:spacing w:after="0" w:line="240" w:lineRule="auto"/>
        <w:rPr>
          <w:rFonts w:ascii="Garamond" w:hAnsi="Garamond" w:cs="Arial"/>
        </w:rPr>
      </w:pPr>
      <w:r>
        <w:rPr>
          <w:rFonts w:ascii="Garamond" w:hAnsi="Garamond" w:cs="Arial"/>
        </w:rPr>
        <w:t xml:space="preserve">Prolonged drought conditions in California have necessitated an increased use </w:t>
      </w:r>
      <w:r w:rsidR="00A557E5">
        <w:rPr>
          <w:rFonts w:ascii="Garamond" w:hAnsi="Garamond" w:cs="Arial"/>
        </w:rPr>
        <w:t>of</w:t>
      </w:r>
      <w:r>
        <w:rPr>
          <w:rFonts w:ascii="Garamond" w:hAnsi="Garamond" w:cs="Arial"/>
        </w:rPr>
        <w:t xml:space="preserve"> water resources from the Bay-Delta for both agricultural and municipal usage.</w:t>
      </w:r>
    </w:p>
    <w:p w14:paraId="38DE9889" w14:textId="37157980" w:rsidR="00C76EA6" w:rsidRDefault="00C76EA6" w:rsidP="00E33287">
      <w:pPr>
        <w:pStyle w:val="ListParagraph"/>
        <w:numPr>
          <w:ilvl w:val="0"/>
          <w:numId w:val="1"/>
        </w:numPr>
        <w:spacing w:after="0" w:line="240" w:lineRule="auto"/>
        <w:rPr>
          <w:rFonts w:ascii="Garamond" w:hAnsi="Garamond" w:cs="Arial"/>
        </w:rPr>
      </w:pPr>
      <w:r>
        <w:rPr>
          <w:rFonts w:ascii="Garamond" w:hAnsi="Garamond" w:cs="Arial"/>
        </w:rPr>
        <w:t xml:space="preserve">Diverting water from this region must be done in consideration of the Delta smelt, an endemic and </w:t>
      </w:r>
      <w:r w:rsidR="00AF5B7F">
        <w:rPr>
          <w:rFonts w:ascii="Garamond" w:hAnsi="Garamond" w:cs="Arial"/>
        </w:rPr>
        <w:t>federally protected</w:t>
      </w:r>
      <w:r>
        <w:rPr>
          <w:rFonts w:ascii="Garamond" w:hAnsi="Garamond" w:cs="Arial"/>
        </w:rPr>
        <w:t xml:space="preserve"> endangered fish species that spawns within the Bay.</w:t>
      </w:r>
    </w:p>
    <w:p w14:paraId="2C57C35B" w14:textId="14E1E987" w:rsidR="00C76EA6" w:rsidRPr="008806D2" w:rsidRDefault="00AF5B7F" w:rsidP="00E33287">
      <w:pPr>
        <w:pStyle w:val="ListParagraph"/>
        <w:numPr>
          <w:ilvl w:val="0"/>
          <w:numId w:val="1"/>
        </w:numPr>
        <w:spacing w:after="0" w:line="240" w:lineRule="auto"/>
        <w:rPr>
          <w:rFonts w:ascii="Garamond" w:hAnsi="Garamond" w:cs="Arial"/>
        </w:rPr>
      </w:pPr>
      <w:r>
        <w:rPr>
          <w:rFonts w:ascii="Garamond" w:hAnsi="Garamond" w:cs="Arial"/>
        </w:rPr>
        <w:t>There is a n</w:t>
      </w:r>
      <w:r w:rsidR="00C76EA6">
        <w:rPr>
          <w:rFonts w:ascii="Garamond" w:hAnsi="Garamond" w:cs="Arial"/>
        </w:rPr>
        <w:t xml:space="preserve">eed for remotely-sensed tools to monitor turbidity in areas not covered by </w:t>
      </w:r>
      <w:r w:rsidR="00C76EA6" w:rsidRPr="00AA5AEF">
        <w:rPr>
          <w:rFonts w:ascii="Garamond" w:hAnsi="Garamond" w:cs="Arial"/>
          <w:i/>
        </w:rPr>
        <w:t>in</w:t>
      </w:r>
      <w:r w:rsidR="00A557E5" w:rsidRPr="00AA5AEF">
        <w:rPr>
          <w:rFonts w:ascii="Garamond" w:hAnsi="Garamond" w:cs="Arial"/>
          <w:i/>
        </w:rPr>
        <w:t xml:space="preserve"> </w:t>
      </w:r>
      <w:r w:rsidR="00C76EA6" w:rsidRPr="00AA5AEF">
        <w:rPr>
          <w:rFonts w:ascii="Garamond" w:hAnsi="Garamond" w:cs="Arial"/>
          <w:i/>
        </w:rPr>
        <w:t>situ</w:t>
      </w:r>
      <w:r w:rsidR="00C76EA6">
        <w:rPr>
          <w:rFonts w:ascii="Garamond" w:hAnsi="Garamond" w:cs="Arial"/>
        </w:rPr>
        <w:t xml:space="preserve"> monitoring stations and to assist with turbidity model calibrations</w:t>
      </w:r>
      <w:r w:rsidR="00A557E5">
        <w:rPr>
          <w:rFonts w:ascii="Garamond" w:hAnsi="Garamond" w:cs="Arial"/>
        </w:rPr>
        <w:t>.</w:t>
      </w:r>
    </w:p>
    <w:p w14:paraId="441822FF" w14:textId="77777777" w:rsidR="00E33287" w:rsidRDefault="00E33287" w:rsidP="00E33287">
      <w:pPr>
        <w:spacing w:after="0" w:line="240" w:lineRule="auto"/>
        <w:rPr>
          <w:rFonts w:ascii="Century Gothic" w:hAnsi="Century Gothic" w:cs="Arial"/>
          <w:b/>
          <w:sz w:val="20"/>
          <w:szCs w:val="20"/>
        </w:rPr>
      </w:pPr>
    </w:p>
    <w:p w14:paraId="6D036C46" w14:textId="54100838"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 xml:space="preserve">Current </w:t>
      </w:r>
      <w:r w:rsidR="002105FE">
        <w:rPr>
          <w:rFonts w:ascii="Century Gothic" w:hAnsi="Century Gothic" w:cs="Arial"/>
          <w:b/>
          <w:sz w:val="20"/>
          <w:szCs w:val="20"/>
        </w:rPr>
        <w:t>Decision-</w:t>
      </w:r>
      <w:r>
        <w:rPr>
          <w:rFonts w:ascii="Century Gothic" w:hAnsi="Century Gothic" w:cs="Arial"/>
          <w:b/>
          <w:sz w:val="20"/>
          <w:szCs w:val="20"/>
        </w:rPr>
        <w:t>Making</w:t>
      </w:r>
      <w:r w:rsidRPr="00D579FC">
        <w:rPr>
          <w:rFonts w:ascii="Century Gothic" w:hAnsi="Century Gothic" w:cs="Arial"/>
          <w:b/>
          <w:sz w:val="20"/>
          <w:szCs w:val="20"/>
        </w:rPr>
        <w:t xml:space="preserve"> Practices &amp; Policies</w:t>
      </w:r>
      <w:r>
        <w:rPr>
          <w:rFonts w:ascii="Century Gothic" w:hAnsi="Century Gothic" w:cs="Arial"/>
          <w:sz w:val="20"/>
          <w:szCs w:val="20"/>
        </w:rPr>
        <w:t>:</w:t>
      </w:r>
    </w:p>
    <w:p w14:paraId="1CBF2631" w14:textId="39C890AC" w:rsidR="00E33287" w:rsidRPr="00C76EA6" w:rsidRDefault="00C76EA6" w:rsidP="00E33287">
      <w:pPr>
        <w:spacing w:after="0" w:line="240" w:lineRule="auto"/>
        <w:rPr>
          <w:rFonts w:ascii="Garamond" w:eastAsia="Times New Roman" w:hAnsi="Garamond"/>
          <w:sz w:val="24"/>
          <w:szCs w:val="24"/>
        </w:rPr>
      </w:pPr>
      <w:r w:rsidRPr="00C76EA6">
        <w:rPr>
          <w:rFonts w:ascii="Garamond" w:eastAsia="Times New Roman" w:hAnsi="Garamond"/>
          <w:color w:val="000000"/>
        </w:rPr>
        <w:t>Currently, Bay-Delta water quality assessments and management policies are primarily informed via field observations from</w:t>
      </w:r>
      <w:r w:rsidRPr="00AA5AEF">
        <w:rPr>
          <w:rFonts w:ascii="Garamond" w:eastAsia="Times New Roman" w:hAnsi="Garamond"/>
          <w:i/>
          <w:color w:val="000000"/>
        </w:rPr>
        <w:t xml:space="preserve"> in</w:t>
      </w:r>
      <w:r w:rsidR="00AF5B7F" w:rsidRPr="00AA5AEF">
        <w:rPr>
          <w:rFonts w:ascii="Garamond" w:eastAsia="Times New Roman" w:hAnsi="Garamond"/>
          <w:i/>
          <w:color w:val="000000"/>
        </w:rPr>
        <w:t xml:space="preserve"> </w:t>
      </w:r>
      <w:r w:rsidRPr="00AA5AEF">
        <w:rPr>
          <w:rFonts w:ascii="Garamond" w:eastAsia="Times New Roman" w:hAnsi="Garamond"/>
          <w:i/>
          <w:color w:val="000000"/>
        </w:rPr>
        <w:t>situ</w:t>
      </w:r>
      <w:r w:rsidRPr="00C76EA6">
        <w:rPr>
          <w:rFonts w:ascii="Garamond" w:eastAsia="Times New Roman" w:hAnsi="Garamond"/>
          <w:color w:val="000000"/>
        </w:rPr>
        <w:t xml:space="preserve"> monitoring stations and sediment transport models to interpolate turbidity values between these fixed station sites. While Bay-Delta variations in salinity are well-understood, turbidity is less so. Data from these snapshots and models is currently necessary to balance water resource needs with proper ecosystem functioning. Turbidity distributions are a vital part in the </w:t>
      </w:r>
      <w:r w:rsidR="00D14FDD">
        <w:rPr>
          <w:rFonts w:ascii="Garamond" w:eastAsia="Times New Roman" w:hAnsi="Garamond"/>
          <w:color w:val="000000"/>
        </w:rPr>
        <w:t>MWD’</w:t>
      </w:r>
      <w:r w:rsidRPr="00C76EA6">
        <w:rPr>
          <w:rFonts w:ascii="Garamond" w:eastAsia="Times New Roman" w:hAnsi="Garamond"/>
          <w:color w:val="000000"/>
        </w:rPr>
        <w:t>s decision-making process—determining the timing of pumping station operations and avoiding accidental entrainment of endangered species like the Delta smelt at pumping facilities. In addition, the MWD supports research efforts into the link between turbidity values and preferred smelt habitat, utilizing GPS tagging, drones, and other technologies to ensure compliance with local and federal wildlife protections.</w:t>
      </w:r>
    </w:p>
    <w:p w14:paraId="41D003D0" w14:textId="77777777" w:rsidR="00C76EA6" w:rsidRPr="00D579FC" w:rsidRDefault="00C76EA6" w:rsidP="00E33287">
      <w:pPr>
        <w:spacing w:after="0" w:line="240" w:lineRule="auto"/>
        <w:rPr>
          <w:rFonts w:ascii="Century Gothic" w:hAnsi="Century Gothic" w:cs="Arial"/>
          <w:sz w:val="20"/>
          <w:szCs w:val="20"/>
        </w:rPr>
      </w:pPr>
    </w:p>
    <w:p w14:paraId="6C28E497" w14:textId="77777777" w:rsidR="00E33287" w:rsidRPr="00D579FC" w:rsidRDefault="00E33287" w:rsidP="00E33287">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p>
    <w:tbl>
      <w:tblPr>
        <w:tblStyle w:val="TableGrid"/>
        <w:tblW w:w="9371" w:type="dxa"/>
        <w:tblInd w:w="-5" w:type="dxa"/>
        <w:tblLook w:val="04A0" w:firstRow="1" w:lastRow="0" w:firstColumn="1" w:lastColumn="0" w:noHBand="0" w:noVBand="1"/>
      </w:tblPr>
      <w:tblGrid>
        <w:gridCol w:w="2574"/>
        <w:gridCol w:w="2574"/>
        <w:gridCol w:w="2762"/>
        <w:gridCol w:w="1461"/>
      </w:tblGrid>
      <w:tr w:rsidR="00E33287" w14:paraId="73ADD8F6" w14:textId="77777777" w:rsidTr="006D573E">
        <w:trPr>
          <w:trHeight w:val="477"/>
        </w:trPr>
        <w:tc>
          <w:tcPr>
            <w:tcW w:w="2574" w:type="dxa"/>
            <w:shd w:val="clear" w:color="auto" w:fill="31849B" w:themeFill="accent5" w:themeFillShade="BF"/>
            <w:vAlign w:val="center"/>
          </w:tcPr>
          <w:p w14:paraId="77D656EF" w14:textId="681BC3A2" w:rsidR="00E33287" w:rsidRPr="006D573E" w:rsidRDefault="002105FE" w:rsidP="006D573E">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End </w:t>
            </w:r>
            <w:r w:rsidR="00E33287" w:rsidRPr="006D573E">
              <w:rPr>
                <w:rFonts w:ascii="Century Gothic" w:hAnsi="Century Gothic" w:cs="Arial"/>
                <w:b/>
                <w:color w:val="FFFFFF" w:themeColor="background1"/>
                <w:sz w:val="20"/>
                <w:szCs w:val="20"/>
              </w:rPr>
              <w:t>Product</w:t>
            </w:r>
          </w:p>
        </w:tc>
        <w:tc>
          <w:tcPr>
            <w:tcW w:w="2574" w:type="dxa"/>
            <w:shd w:val="clear" w:color="auto" w:fill="31849B" w:themeFill="accent5" w:themeFillShade="BF"/>
            <w:vAlign w:val="center"/>
          </w:tcPr>
          <w:p w14:paraId="74D2062F"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Earth Observations Used</w:t>
            </w:r>
          </w:p>
        </w:tc>
        <w:tc>
          <w:tcPr>
            <w:tcW w:w="2762" w:type="dxa"/>
            <w:shd w:val="clear" w:color="auto" w:fill="31849B" w:themeFill="accent5" w:themeFillShade="BF"/>
            <w:vAlign w:val="center"/>
          </w:tcPr>
          <w:p w14:paraId="3844208D" w14:textId="2DDD5D5A" w:rsidR="00E33287" w:rsidRPr="006D573E" w:rsidRDefault="004901C5" w:rsidP="004901C5">
            <w:pPr>
              <w:spacing w:after="0" w:line="240" w:lineRule="auto"/>
              <w:contextualSpacing/>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 xml:space="preserve">Partner </w:t>
            </w:r>
            <w:r w:rsidR="00E33287" w:rsidRPr="006D573E">
              <w:rPr>
                <w:rFonts w:ascii="Century Gothic" w:hAnsi="Century Gothic" w:cs="Arial"/>
                <w:b/>
                <w:color w:val="FFFFFF" w:themeColor="background1"/>
                <w:sz w:val="20"/>
                <w:szCs w:val="20"/>
              </w:rPr>
              <w:t xml:space="preserve">Benefit &amp; </w:t>
            </w:r>
            <w:r>
              <w:rPr>
                <w:rFonts w:ascii="Century Gothic" w:hAnsi="Century Gothic" w:cs="Arial"/>
                <w:b/>
                <w:color w:val="FFFFFF" w:themeColor="background1"/>
                <w:sz w:val="20"/>
                <w:szCs w:val="20"/>
              </w:rPr>
              <w:t>Use</w:t>
            </w:r>
          </w:p>
        </w:tc>
        <w:tc>
          <w:tcPr>
            <w:tcW w:w="1461" w:type="dxa"/>
            <w:shd w:val="clear" w:color="auto" w:fill="31849B" w:themeFill="accent5" w:themeFillShade="BF"/>
            <w:vAlign w:val="center"/>
          </w:tcPr>
          <w:p w14:paraId="28A19538" w14:textId="5CD23EF6"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Software</w:t>
            </w:r>
          </w:p>
          <w:p w14:paraId="59E65092" w14:textId="77777777" w:rsidR="00E33287" w:rsidRPr="006D573E" w:rsidRDefault="00E33287" w:rsidP="006D573E">
            <w:pPr>
              <w:spacing w:after="0" w:line="240" w:lineRule="auto"/>
              <w:contextualSpacing/>
              <w:jc w:val="center"/>
              <w:rPr>
                <w:rFonts w:ascii="Century Gothic" w:hAnsi="Century Gothic" w:cs="Arial"/>
                <w:b/>
                <w:color w:val="FFFFFF" w:themeColor="background1"/>
                <w:sz w:val="20"/>
                <w:szCs w:val="20"/>
              </w:rPr>
            </w:pPr>
            <w:r w:rsidRPr="006D573E">
              <w:rPr>
                <w:rFonts w:ascii="Century Gothic" w:hAnsi="Century Gothic" w:cs="Arial"/>
                <w:b/>
                <w:color w:val="FFFFFF" w:themeColor="background1"/>
                <w:sz w:val="20"/>
                <w:szCs w:val="20"/>
              </w:rPr>
              <w:t>Release</w:t>
            </w:r>
          </w:p>
        </w:tc>
      </w:tr>
      <w:tr w:rsidR="00E33287" w14:paraId="0A36FF45" w14:textId="77777777" w:rsidTr="006D573E">
        <w:trPr>
          <w:trHeight w:val="1730"/>
        </w:trPr>
        <w:tc>
          <w:tcPr>
            <w:tcW w:w="2574" w:type="dxa"/>
          </w:tcPr>
          <w:p w14:paraId="6F695318" w14:textId="5E62EBE7" w:rsidR="00E33287" w:rsidRPr="008806D2" w:rsidRDefault="00C76EA6" w:rsidP="000A0775">
            <w:pPr>
              <w:spacing w:after="0" w:line="240" w:lineRule="auto"/>
              <w:rPr>
                <w:rFonts w:ascii="Garamond" w:hAnsi="Garamond" w:cs="Arial"/>
              </w:rPr>
            </w:pPr>
            <w:r>
              <w:rPr>
                <w:rFonts w:ascii="Garamond" w:hAnsi="Garamond" w:cs="Arial"/>
              </w:rPr>
              <w:t xml:space="preserve">Turbidity </w:t>
            </w:r>
            <w:r w:rsidR="00AF5B7F">
              <w:rPr>
                <w:rFonts w:ascii="Garamond" w:hAnsi="Garamond" w:cs="Arial"/>
              </w:rPr>
              <w:t>M</w:t>
            </w:r>
            <w:r>
              <w:rPr>
                <w:rFonts w:ascii="Garamond" w:hAnsi="Garamond" w:cs="Arial"/>
              </w:rPr>
              <w:t>aps</w:t>
            </w:r>
          </w:p>
        </w:tc>
        <w:tc>
          <w:tcPr>
            <w:tcW w:w="2574" w:type="dxa"/>
          </w:tcPr>
          <w:p w14:paraId="36A5B821" w14:textId="7FA31D7D" w:rsidR="00E33287" w:rsidRPr="008806D2" w:rsidRDefault="00C76EA6" w:rsidP="00C76EA6">
            <w:pPr>
              <w:spacing w:after="0" w:line="240" w:lineRule="auto"/>
              <w:rPr>
                <w:rFonts w:ascii="Garamond" w:hAnsi="Garamond" w:cs="Arial"/>
              </w:rPr>
            </w:pPr>
            <w:r>
              <w:rPr>
                <w:rFonts w:ascii="Garamond" w:hAnsi="Garamond" w:cs="Arial"/>
              </w:rPr>
              <w:t>Landsat 8 OLI, Sentinel-2, Sentinel-3A</w:t>
            </w:r>
          </w:p>
        </w:tc>
        <w:tc>
          <w:tcPr>
            <w:tcW w:w="2762" w:type="dxa"/>
          </w:tcPr>
          <w:p w14:paraId="0E959FEF" w14:textId="729A44C3" w:rsidR="00E33287" w:rsidRPr="008806D2" w:rsidRDefault="002105FE" w:rsidP="000A0775">
            <w:pPr>
              <w:spacing w:after="0" w:line="240" w:lineRule="auto"/>
              <w:rPr>
                <w:rFonts w:ascii="Garamond" w:hAnsi="Garamond" w:cs="Arial"/>
              </w:rPr>
            </w:pPr>
            <w:r>
              <w:rPr>
                <w:rFonts w:ascii="Garamond" w:hAnsi="Garamond" w:cs="Arial"/>
              </w:rPr>
              <w:t>This product will be used fo</w:t>
            </w:r>
            <w:r w:rsidR="00AA5AEF">
              <w:rPr>
                <w:rFonts w:ascii="Garamond" w:hAnsi="Garamond" w:cs="Arial"/>
              </w:rPr>
              <w:t>r</w:t>
            </w:r>
            <w:r>
              <w:rPr>
                <w:rFonts w:ascii="Garamond" w:hAnsi="Garamond" w:cs="Arial"/>
              </w:rPr>
              <w:t xml:space="preserve"> i</w:t>
            </w:r>
            <w:r w:rsidR="00C76EA6">
              <w:rPr>
                <w:rFonts w:ascii="Garamond" w:hAnsi="Garamond" w:cs="Arial"/>
              </w:rPr>
              <w:t>mproved monitoring and management strategies for pumping facilities, such as pumping restrictions, periodic closure, or Delta smelt salvage at pumping facilities in the southern Bay-Delta.</w:t>
            </w:r>
          </w:p>
        </w:tc>
        <w:tc>
          <w:tcPr>
            <w:tcW w:w="1461" w:type="dxa"/>
          </w:tcPr>
          <w:p w14:paraId="5895E9CB" w14:textId="011D172D" w:rsidR="00E33287" w:rsidRPr="008806D2" w:rsidRDefault="00C76EA6" w:rsidP="000A0775">
            <w:pPr>
              <w:spacing w:after="0" w:line="240" w:lineRule="auto"/>
              <w:rPr>
                <w:rFonts w:ascii="Garamond" w:hAnsi="Garamond" w:cs="Arial"/>
              </w:rPr>
            </w:pPr>
            <w:r>
              <w:rPr>
                <w:rFonts w:ascii="Garamond" w:hAnsi="Garamond"/>
              </w:rPr>
              <w:t>N/A</w:t>
            </w:r>
          </w:p>
        </w:tc>
      </w:tr>
    </w:tbl>
    <w:p w14:paraId="35B6EE44" w14:textId="77777777" w:rsidR="00E33287" w:rsidRDefault="00E33287" w:rsidP="00E33287">
      <w:pPr>
        <w:spacing w:after="0" w:line="240" w:lineRule="auto"/>
        <w:rPr>
          <w:rFonts w:ascii="Century Gothic" w:hAnsi="Century Gothic" w:cs="Arial"/>
          <w:b/>
          <w:sz w:val="20"/>
          <w:szCs w:val="20"/>
        </w:rPr>
      </w:pPr>
    </w:p>
    <w:p w14:paraId="45DF79CC" w14:textId="349CEDAC" w:rsidR="00E33287" w:rsidRPr="00D579FC" w:rsidRDefault="002105FE" w:rsidP="00E33287">
      <w:pPr>
        <w:spacing w:after="0" w:line="240" w:lineRule="auto"/>
        <w:rPr>
          <w:rFonts w:ascii="Century Gothic" w:hAnsi="Century Gothic" w:cs="Arial"/>
          <w:sz w:val="20"/>
          <w:szCs w:val="20"/>
        </w:rPr>
      </w:pPr>
      <w:r>
        <w:rPr>
          <w:rFonts w:ascii="Century Gothic" w:hAnsi="Century Gothic" w:cs="Arial"/>
          <w:b/>
          <w:sz w:val="20"/>
          <w:szCs w:val="20"/>
        </w:rPr>
        <w:t xml:space="preserve">Project Benefit to End </w:t>
      </w:r>
      <w:r w:rsidR="00E33287">
        <w:rPr>
          <w:rFonts w:ascii="Century Gothic" w:hAnsi="Century Gothic" w:cs="Arial"/>
          <w:b/>
          <w:sz w:val="20"/>
          <w:szCs w:val="20"/>
        </w:rPr>
        <w:t>User</w:t>
      </w:r>
      <w:r w:rsidR="00E33287">
        <w:rPr>
          <w:rFonts w:ascii="Century Gothic" w:hAnsi="Century Gothic" w:cs="Arial"/>
          <w:sz w:val="20"/>
          <w:szCs w:val="20"/>
        </w:rPr>
        <w:t>:</w:t>
      </w:r>
    </w:p>
    <w:p w14:paraId="3645AD75" w14:textId="34AF59E9" w:rsidR="00E33287" w:rsidRDefault="00C76EA6" w:rsidP="009A326F">
      <w:pPr>
        <w:spacing w:after="0" w:line="240" w:lineRule="auto"/>
        <w:rPr>
          <w:rFonts w:ascii="Garamond" w:hAnsi="Garamond" w:cs="Arial"/>
        </w:rPr>
      </w:pPr>
      <w:r>
        <w:rPr>
          <w:rFonts w:ascii="Garamond" w:hAnsi="Garamond" w:cs="Arial"/>
        </w:rPr>
        <w:t>Enhanced accuracy of turbidity models will better inform water management strategies in the Bay-Delta. The MWD can use these models to increase delta smelt salvage and continuity of pumping operations to provide ample water-flow for municipal and agricultural purposes.</w:t>
      </w:r>
    </w:p>
    <w:p w14:paraId="540EC1F5" w14:textId="77777777" w:rsidR="00C76EA6" w:rsidRDefault="00C76EA6"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34CDA3D"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lastRenderedPageBreak/>
        <w:t>Applied Sciences National Application Addressed:</w:t>
      </w:r>
      <w:r w:rsidRPr="00E80174">
        <w:rPr>
          <w:rFonts w:ascii="Century Gothic" w:hAnsi="Century Gothic" w:cs="Arial"/>
          <w:sz w:val="20"/>
          <w:szCs w:val="20"/>
        </w:rPr>
        <w:t xml:space="preserve"> </w:t>
      </w:r>
      <w:r w:rsidR="00D14FDD">
        <w:rPr>
          <w:rFonts w:ascii="Garamond" w:hAnsi="Garamond" w:cs="Arial"/>
        </w:rPr>
        <w:t>Water resources</w:t>
      </w:r>
    </w:p>
    <w:p w14:paraId="56DFA915" w14:textId="565D1121" w:rsidR="00CC559E" w:rsidRPr="008806D2" w:rsidRDefault="003B2A86" w:rsidP="003B2A86">
      <w:pPr>
        <w:spacing w:after="0" w:line="240" w:lineRule="auto"/>
        <w:rPr>
          <w:rFonts w:ascii="Century Gothic" w:hAnsi="Century Gothic" w:cs="Arial"/>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F1B07">
        <w:rPr>
          <w:rFonts w:ascii="Garamond" w:hAnsi="Garamond" w:cs="Arial"/>
        </w:rPr>
        <w:t xml:space="preserve">San Francisco Bay-Delta, </w:t>
      </w:r>
      <w:r w:rsidR="00AF5B7F">
        <w:rPr>
          <w:rFonts w:ascii="Garamond" w:hAnsi="Garamond" w:cs="Arial"/>
        </w:rPr>
        <w:t>CA</w:t>
      </w:r>
    </w:p>
    <w:p w14:paraId="7FDE539A" w14:textId="2C78171E" w:rsidR="00FA7CE4" w:rsidRDefault="003B2A86" w:rsidP="00E80174">
      <w:pPr>
        <w:spacing w:after="0" w:line="240" w:lineRule="auto"/>
        <w:rPr>
          <w:rFonts w:ascii="Century Gothic" w:hAnsi="Century Gothic" w:cs="Arial"/>
          <w:b/>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7F1B07">
        <w:rPr>
          <w:rFonts w:ascii="Garamond" w:hAnsi="Garamond" w:cs="Arial"/>
        </w:rPr>
        <w:t>April 2013 – June 2016</w:t>
      </w:r>
    </w:p>
    <w:p w14:paraId="49EA5C4F" w14:textId="77777777" w:rsidR="00FA7CE4" w:rsidRDefault="00FA7CE4" w:rsidP="00E80174">
      <w:pPr>
        <w:spacing w:after="0" w:line="240" w:lineRule="auto"/>
        <w:rPr>
          <w:rFonts w:ascii="Century Gothic" w:hAnsi="Century Gothic" w:cs="Arial"/>
          <w:b/>
          <w:sz w:val="20"/>
          <w:szCs w:val="20"/>
        </w:rPr>
      </w:pPr>
    </w:p>
    <w:p w14:paraId="2EEC0BA8" w14:textId="715AA2D6" w:rsidR="00605CF2" w:rsidRPr="00605CF2" w:rsidRDefault="00605CF2"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Pr>
          <w:rFonts w:ascii="Century Gothic" w:hAnsi="Century Gothic" w:cs="Arial"/>
          <w:b/>
          <w:sz w:val="20"/>
          <w:szCs w:val="20"/>
        </w:rPr>
        <w:t>:</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605CF2" w:rsidRPr="00CD0433" w14:paraId="4BA753C5" w14:textId="77777777" w:rsidTr="007F1B07">
        <w:trPr>
          <w:trHeight w:val="325"/>
        </w:trPr>
        <w:tc>
          <w:tcPr>
            <w:tcW w:w="2194" w:type="dxa"/>
            <w:shd w:val="clear" w:color="auto" w:fill="31849B" w:themeFill="accent5" w:themeFillShade="BF"/>
            <w:vAlign w:val="center"/>
          </w:tcPr>
          <w:p w14:paraId="6FD04A3C"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themeFill="accent5" w:themeFillShade="BF"/>
            <w:vAlign w:val="center"/>
          </w:tcPr>
          <w:p w14:paraId="24BCD2F7"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themeFill="accent5" w:themeFillShade="BF"/>
            <w:vAlign w:val="center"/>
          </w:tcPr>
          <w:p w14:paraId="7AF6083F" w14:textId="77777777" w:rsidR="00605CF2" w:rsidRPr="006D573E" w:rsidRDefault="00605CF2" w:rsidP="000A0775">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605CF2" w:rsidRPr="005C6FC1" w14:paraId="38965005" w14:textId="77777777" w:rsidTr="007F1B07">
        <w:trPr>
          <w:trHeight w:val="618"/>
        </w:trPr>
        <w:tc>
          <w:tcPr>
            <w:tcW w:w="2194" w:type="dxa"/>
          </w:tcPr>
          <w:p w14:paraId="6D458235" w14:textId="3B1101C7" w:rsidR="00605CF2" w:rsidRPr="00AC7AEB" w:rsidRDefault="007F1B07" w:rsidP="00AC7AEB">
            <w:pPr>
              <w:spacing w:after="0" w:line="240" w:lineRule="auto"/>
              <w:contextualSpacing/>
              <w:rPr>
                <w:rFonts w:ascii="Garamond" w:hAnsi="Garamond"/>
                <w:bCs/>
              </w:rPr>
            </w:pPr>
            <w:r>
              <w:rPr>
                <w:rFonts w:ascii="Garamond" w:hAnsi="Garamond"/>
                <w:bCs/>
              </w:rPr>
              <w:t>Landsat 8, Operational Land Imager (OLI)</w:t>
            </w:r>
          </w:p>
        </w:tc>
        <w:tc>
          <w:tcPr>
            <w:tcW w:w="2467" w:type="dxa"/>
          </w:tcPr>
          <w:p w14:paraId="1EA11CB3" w14:textId="7D6A80EC" w:rsidR="00605CF2" w:rsidRPr="005C6FC1" w:rsidRDefault="007F1B07" w:rsidP="00AC7AEB">
            <w:pPr>
              <w:spacing w:after="0" w:line="240" w:lineRule="auto"/>
              <w:contextualSpacing/>
              <w:rPr>
                <w:rFonts w:ascii="Garamond" w:hAnsi="Garamond"/>
              </w:rPr>
            </w:pPr>
            <w:r>
              <w:rPr>
                <w:rFonts w:ascii="Garamond" w:hAnsi="Garamond"/>
              </w:rPr>
              <w:t>Turbidity (FNU)</w:t>
            </w:r>
          </w:p>
        </w:tc>
        <w:tc>
          <w:tcPr>
            <w:tcW w:w="4715" w:type="dxa"/>
          </w:tcPr>
          <w:p w14:paraId="25D6B2CE" w14:textId="444A1F84" w:rsidR="00605CF2" w:rsidRPr="005C6FC1" w:rsidRDefault="007F1B07" w:rsidP="00AC7AEB">
            <w:pPr>
              <w:spacing w:after="0" w:line="240" w:lineRule="auto"/>
              <w:contextualSpacing/>
              <w:rPr>
                <w:rFonts w:ascii="Garamond" w:hAnsi="Garamond"/>
              </w:rPr>
            </w:pPr>
            <w:r>
              <w:rPr>
                <w:rFonts w:ascii="Garamond" w:hAnsi="Garamond"/>
              </w:rPr>
              <w:t>Generating time-series turbidity maps</w:t>
            </w:r>
          </w:p>
        </w:tc>
      </w:tr>
      <w:tr w:rsidR="00605CF2" w:rsidRPr="005C6FC1" w14:paraId="467CFE0E" w14:textId="77777777" w:rsidTr="007F1B07">
        <w:trPr>
          <w:trHeight w:val="309"/>
        </w:trPr>
        <w:tc>
          <w:tcPr>
            <w:tcW w:w="2194" w:type="dxa"/>
            <w:tcBorders>
              <w:bottom w:val="single" w:sz="4" w:space="0" w:color="auto"/>
            </w:tcBorders>
          </w:tcPr>
          <w:p w14:paraId="798898B8" w14:textId="14AE1810" w:rsidR="00605CF2" w:rsidRPr="00AC7AEB" w:rsidRDefault="007F1B07" w:rsidP="00AC7AEB">
            <w:pPr>
              <w:spacing w:after="0" w:line="240" w:lineRule="auto"/>
              <w:contextualSpacing/>
              <w:rPr>
                <w:rFonts w:ascii="Garamond" w:hAnsi="Garamond"/>
                <w:bCs/>
              </w:rPr>
            </w:pPr>
            <w:r>
              <w:rPr>
                <w:rFonts w:ascii="Garamond" w:hAnsi="Garamond"/>
                <w:bCs/>
              </w:rPr>
              <w:t>Sentinel-2</w:t>
            </w:r>
            <w:r w:rsidR="00AF5B7F">
              <w:rPr>
                <w:rFonts w:ascii="Garamond" w:hAnsi="Garamond"/>
                <w:bCs/>
              </w:rPr>
              <w:t xml:space="preserve"> MSI</w:t>
            </w:r>
          </w:p>
        </w:tc>
        <w:tc>
          <w:tcPr>
            <w:tcW w:w="2467" w:type="dxa"/>
            <w:tcBorders>
              <w:bottom w:val="single" w:sz="4" w:space="0" w:color="auto"/>
            </w:tcBorders>
          </w:tcPr>
          <w:p w14:paraId="0857C0EF" w14:textId="20530AC2" w:rsidR="00605CF2" w:rsidRPr="005C6FC1" w:rsidRDefault="007F1B07" w:rsidP="00AC7AEB">
            <w:pPr>
              <w:spacing w:after="0" w:line="240" w:lineRule="auto"/>
              <w:contextualSpacing/>
              <w:rPr>
                <w:rFonts w:ascii="Garamond" w:hAnsi="Garamond"/>
              </w:rPr>
            </w:pPr>
            <w:r>
              <w:rPr>
                <w:rFonts w:ascii="Garamond" w:hAnsi="Garamond"/>
              </w:rPr>
              <w:t>Turbidity (FNU)</w:t>
            </w:r>
          </w:p>
        </w:tc>
        <w:tc>
          <w:tcPr>
            <w:tcW w:w="4715" w:type="dxa"/>
            <w:tcBorders>
              <w:bottom w:val="single" w:sz="4" w:space="0" w:color="auto"/>
            </w:tcBorders>
          </w:tcPr>
          <w:p w14:paraId="29914E7E" w14:textId="5230CD50" w:rsidR="00605CF2" w:rsidRPr="005C6FC1" w:rsidRDefault="007F1B07" w:rsidP="00AC7AEB">
            <w:pPr>
              <w:spacing w:after="0" w:line="240" w:lineRule="auto"/>
              <w:contextualSpacing/>
              <w:rPr>
                <w:rFonts w:ascii="Garamond" w:hAnsi="Garamond"/>
              </w:rPr>
            </w:pPr>
            <w:r>
              <w:rPr>
                <w:rFonts w:ascii="Garamond" w:hAnsi="Garamond"/>
              </w:rPr>
              <w:t>Generating time-series turbidity maps</w:t>
            </w:r>
          </w:p>
        </w:tc>
      </w:tr>
      <w:tr w:rsidR="00605CF2" w:rsidRPr="005C6FC1" w14:paraId="76AA4790" w14:textId="77777777" w:rsidTr="00AA5AEF">
        <w:trPr>
          <w:trHeight w:val="701"/>
        </w:trPr>
        <w:tc>
          <w:tcPr>
            <w:tcW w:w="2194" w:type="dxa"/>
            <w:tcBorders>
              <w:top w:val="single" w:sz="4" w:space="0" w:color="auto"/>
              <w:left w:val="single" w:sz="4" w:space="0" w:color="auto"/>
              <w:bottom w:val="single" w:sz="4" w:space="0" w:color="auto"/>
            </w:tcBorders>
          </w:tcPr>
          <w:p w14:paraId="442B4776" w14:textId="0F024544" w:rsidR="00605CF2" w:rsidRPr="00AC7AEB" w:rsidRDefault="007F1B07" w:rsidP="00AC7AEB">
            <w:pPr>
              <w:spacing w:after="0" w:line="240" w:lineRule="auto"/>
              <w:contextualSpacing/>
              <w:rPr>
                <w:rFonts w:ascii="Garamond" w:hAnsi="Garamond"/>
                <w:bCs/>
              </w:rPr>
            </w:pPr>
            <w:r>
              <w:rPr>
                <w:rFonts w:ascii="Garamond" w:hAnsi="Garamond"/>
                <w:bCs/>
              </w:rPr>
              <w:t>Sentinel-3</w:t>
            </w:r>
            <w:r w:rsidR="00AA5AEF">
              <w:rPr>
                <w:rFonts w:ascii="Garamond" w:hAnsi="Garamond"/>
                <w:bCs/>
              </w:rPr>
              <w:t xml:space="preserve"> OLCI</w:t>
            </w:r>
          </w:p>
        </w:tc>
        <w:tc>
          <w:tcPr>
            <w:tcW w:w="2467" w:type="dxa"/>
            <w:tcBorders>
              <w:top w:val="single" w:sz="4" w:space="0" w:color="auto"/>
              <w:bottom w:val="single" w:sz="4" w:space="0" w:color="auto"/>
            </w:tcBorders>
          </w:tcPr>
          <w:p w14:paraId="4B6154AE" w14:textId="481CD1EC" w:rsidR="00605CF2" w:rsidRPr="007F1B07" w:rsidRDefault="007F1B07" w:rsidP="00AF5B7F">
            <w:pPr>
              <w:spacing w:after="0" w:line="240" w:lineRule="auto"/>
              <w:contextualSpacing/>
              <w:rPr>
                <w:rFonts w:ascii="Garamond" w:hAnsi="Garamond"/>
              </w:rPr>
            </w:pPr>
            <w:r>
              <w:rPr>
                <w:rFonts w:ascii="Garamond" w:hAnsi="Garamond"/>
              </w:rPr>
              <w:t>Remote sensing reflectance (</w:t>
            </w:r>
            <w:proofErr w:type="spellStart"/>
            <w:r>
              <w:rPr>
                <w:rFonts w:ascii="Garamond" w:hAnsi="Garamond"/>
              </w:rPr>
              <w:t>Rrs</w:t>
            </w:r>
            <w:proofErr w:type="spellEnd"/>
            <w:r>
              <w:rPr>
                <w:rFonts w:ascii="Garamond" w:hAnsi="Garamond"/>
              </w:rPr>
              <w:t xml:space="preserve"> sr</w:t>
            </w:r>
            <w:r>
              <w:rPr>
                <w:rFonts w:ascii="Garamond" w:hAnsi="Garamond"/>
                <w:vertAlign w:val="superscript"/>
              </w:rPr>
              <w:t>-1</w:t>
            </w:r>
            <w:r>
              <w:rPr>
                <w:rFonts w:ascii="Garamond" w:hAnsi="Garamond"/>
              </w:rPr>
              <w:t xml:space="preserve">); </w:t>
            </w:r>
            <w:r w:rsidR="00AF5B7F">
              <w:rPr>
                <w:rFonts w:ascii="Garamond" w:hAnsi="Garamond"/>
              </w:rPr>
              <w:t>t</w:t>
            </w:r>
            <w:r>
              <w:rPr>
                <w:rFonts w:ascii="Garamond" w:hAnsi="Garamond"/>
              </w:rPr>
              <w:t>urbidity (FNU)</w:t>
            </w:r>
          </w:p>
        </w:tc>
        <w:tc>
          <w:tcPr>
            <w:tcW w:w="4715" w:type="dxa"/>
            <w:tcBorders>
              <w:top w:val="single" w:sz="4" w:space="0" w:color="auto"/>
              <w:bottom w:val="single" w:sz="4" w:space="0" w:color="auto"/>
              <w:right w:val="single" w:sz="4" w:space="0" w:color="auto"/>
            </w:tcBorders>
          </w:tcPr>
          <w:p w14:paraId="6FFA76BE" w14:textId="13886F1E" w:rsidR="00605CF2" w:rsidRPr="005C6FC1" w:rsidRDefault="007F1B07" w:rsidP="00AC7AEB">
            <w:pPr>
              <w:spacing w:after="0" w:line="240" w:lineRule="auto"/>
              <w:contextualSpacing/>
              <w:rPr>
                <w:rFonts w:ascii="Garamond" w:hAnsi="Garamond"/>
              </w:rPr>
            </w:pPr>
            <w:r>
              <w:rPr>
                <w:rFonts w:ascii="Garamond" w:hAnsi="Garamond"/>
              </w:rPr>
              <w:t>Generating time-series turbidity maps</w:t>
            </w:r>
          </w:p>
        </w:tc>
      </w:tr>
    </w:tbl>
    <w:p w14:paraId="7270E47A" w14:textId="77777777" w:rsidR="00A16322" w:rsidRDefault="00A16322" w:rsidP="00603BB8">
      <w:pPr>
        <w:spacing w:after="0" w:line="240" w:lineRule="auto"/>
        <w:rPr>
          <w:rFonts w:ascii="Century Gothic" w:hAnsi="Century Gothic" w:cs="Arial"/>
          <w:b/>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120B641B" w14:textId="29E01722" w:rsidR="00E25967" w:rsidRPr="00EB5DAB" w:rsidRDefault="00AA5AEF" w:rsidP="00AA5AEF">
      <w:pPr>
        <w:pStyle w:val="ListParagraph"/>
        <w:numPr>
          <w:ilvl w:val="0"/>
          <w:numId w:val="6"/>
        </w:numPr>
        <w:spacing w:after="0" w:line="240" w:lineRule="auto"/>
        <w:rPr>
          <w:rFonts w:ascii="Century Gothic" w:hAnsi="Century Gothic" w:cs="Arial"/>
          <w:b/>
          <w:sz w:val="20"/>
          <w:szCs w:val="20"/>
        </w:rPr>
      </w:pPr>
      <w:r>
        <w:rPr>
          <w:rFonts w:ascii="Garamond" w:hAnsi="Garamond" w:cs="Arial"/>
        </w:rPr>
        <w:t>California Data Exchange Center (CDEC)</w:t>
      </w:r>
      <w:r w:rsidR="007F1B07" w:rsidRPr="00037907">
        <w:rPr>
          <w:rFonts w:ascii="Garamond" w:hAnsi="Garamond" w:cs="Arial"/>
        </w:rPr>
        <w:t xml:space="preserve"> turbidity monitoring stations – Publically available </w:t>
      </w:r>
      <w:r w:rsidR="007F1B07" w:rsidRPr="00AA5AEF">
        <w:rPr>
          <w:rFonts w:ascii="Garamond" w:hAnsi="Garamond" w:cs="Arial"/>
          <w:i/>
        </w:rPr>
        <w:t>in</w:t>
      </w:r>
      <w:r>
        <w:rPr>
          <w:rFonts w:ascii="Garamond" w:hAnsi="Garamond" w:cs="Arial"/>
          <w:i/>
        </w:rPr>
        <w:t xml:space="preserve"> </w:t>
      </w:r>
      <w:r w:rsidR="007F1B07" w:rsidRPr="00AA5AEF">
        <w:rPr>
          <w:rFonts w:ascii="Garamond" w:hAnsi="Garamond" w:cs="Arial"/>
          <w:i/>
        </w:rPr>
        <w:t>situ</w:t>
      </w:r>
      <w:r w:rsidR="007F1B07" w:rsidRPr="00037907">
        <w:rPr>
          <w:rFonts w:ascii="Garamond" w:hAnsi="Garamond" w:cs="Arial"/>
        </w:rPr>
        <w:t xml:space="preserve"> </w:t>
      </w:r>
      <w:r>
        <w:rPr>
          <w:rFonts w:ascii="Garamond" w:hAnsi="Garamond" w:cs="Arial"/>
        </w:rPr>
        <w:t>statewide water conditions dataset</w:t>
      </w:r>
    </w:p>
    <w:p w14:paraId="7DDC0C2B" w14:textId="2CF89AAA" w:rsidR="00AA5AEF" w:rsidRPr="00037907" w:rsidRDefault="00AA5AEF" w:rsidP="00AA5AEF">
      <w:pPr>
        <w:pStyle w:val="ListParagraph"/>
        <w:numPr>
          <w:ilvl w:val="0"/>
          <w:numId w:val="6"/>
        </w:numPr>
        <w:spacing w:after="0" w:line="240" w:lineRule="auto"/>
        <w:rPr>
          <w:rFonts w:ascii="Century Gothic" w:hAnsi="Century Gothic" w:cs="Arial"/>
          <w:b/>
          <w:sz w:val="20"/>
          <w:szCs w:val="20"/>
        </w:rPr>
      </w:pPr>
      <w:r>
        <w:rPr>
          <w:rFonts w:ascii="Garamond" w:hAnsi="Garamond" w:cs="Arial"/>
        </w:rPr>
        <w:t>USGS Water Data turbidity monitoring stations – Publically available</w:t>
      </w:r>
      <w:r>
        <w:rPr>
          <w:rFonts w:ascii="Garamond" w:hAnsi="Garamond" w:cs="Arial"/>
          <w:i/>
        </w:rPr>
        <w:t xml:space="preserve"> in situ</w:t>
      </w:r>
      <w:r w:rsidR="00EB5DAB">
        <w:rPr>
          <w:rFonts w:ascii="Garamond" w:hAnsi="Garamond" w:cs="Arial"/>
          <w:i/>
        </w:rPr>
        <w:t xml:space="preserve"> </w:t>
      </w:r>
      <w:r w:rsidR="00EB5DAB">
        <w:rPr>
          <w:rFonts w:ascii="Garamond" w:hAnsi="Garamond" w:cs="Arial"/>
        </w:rPr>
        <w:t>nationwide water conditions dataset</w:t>
      </w: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01D8F762" w14:textId="06B68749" w:rsidR="00603BB8" w:rsidRPr="008806D2" w:rsidRDefault="009B0544" w:rsidP="00603BB8">
      <w:pPr>
        <w:pStyle w:val="ListParagraph"/>
        <w:numPr>
          <w:ilvl w:val="0"/>
          <w:numId w:val="7"/>
        </w:numPr>
        <w:spacing w:after="0" w:line="240" w:lineRule="auto"/>
        <w:rPr>
          <w:rFonts w:ascii="Garamond" w:hAnsi="Garamond" w:cs="Arial"/>
        </w:rPr>
      </w:pPr>
      <w:r>
        <w:rPr>
          <w:rFonts w:ascii="Garamond" w:hAnsi="Garamond" w:cs="Arial"/>
        </w:rPr>
        <w:t>Anchor QEA Turbidity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37A8EDF" w14:textId="502FF36C" w:rsidR="007F1B07" w:rsidRPr="007F1B07" w:rsidRDefault="007F1B07" w:rsidP="007F1B07">
      <w:pPr>
        <w:pStyle w:val="ListParagraph"/>
        <w:numPr>
          <w:ilvl w:val="0"/>
          <w:numId w:val="11"/>
        </w:numPr>
        <w:spacing w:after="0" w:line="240" w:lineRule="auto"/>
        <w:rPr>
          <w:rFonts w:ascii="Garamond" w:eastAsia="Times New Roman" w:hAnsi="Garamond"/>
          <w:sz w:val="24"/>
          <w:szCs w:val="24"/>
        </w:rPr>
      </w:pPr>
      <w:r w:rsidRPr="007F1B07">
        <w:rPr>
          <w:rFonts w:ascii="Garamond" w:eastAsia="Times New Roman" w:hAnsi="Garamond"/>
          <w:color w:val="000000"/>
        </w:rPr>
        <w:t>E</w:t>
      </w:r>
      <w:r w:rsidR="00037907">
        <w:rPr>
          <w:rFonts w:ascii="Garamond" w:eastAsia="Times New Roman" w:hAnsi="Garamond"/>
          <w:color w:val="000000"/>
        </w:rPr>
        <w:t>sri</w:t>
      </w:r>
      <w:r w:rsidRPr="007F1B07">
        <w:rPr>
          <w:rFonts w:ascii="Garamond" w:eastAsia="Times New Roman" w:hAnsi="Garamond"/>
          <w:color w:val="000000"/>
        </w:rPr>
        <w:t xml:space="preserve"> ArcGIS – raster manipulation</w:t>
      </w:r>
      <w:r w:rsidR="002105FE">
        <w:rPr>
          <w:rFonts w:ascii="Garamond" w:eastAsia="Times New Roman" w:hAnsi="Garamond"/>
          <w:color w:val="000000"/>
        </w:rPr>
        <w:t xml:space="preserve"> and </w:t>
      </w:r>
      <w:r w:rsidRPr="007F1B07">
        <w:rPr>
          <w:rFonts w:ascii="Garamond" w:eastAsia="Times New Roman" w:hAnsi="Garamond"/>
          <w:color w:val="000000"/>
        </w:rPr>
        <w:t xml:space="preserve">analysis, image enhancement </w:t>
      </w:r>
      <w:r w:rsidR="00037907">
        <w:rPr>
          <w:rFonts w:ascii="Garamond" w:eastAsia="Times New Roman" w:hAnsi="Garamond"/>
          <w:color w:val="000000"/>
        </w:rPr>
        <w:t>and</w:t>
      </w:r>
      <w:r w:rsidRPr="007F1B07">
        <w:rPr>
          <w:rFonts w:ascii="Garamond" w:eastAsia="Times New Roman" w:hAnsi="Garamond"/>
          <w:color w:val="000000"/>
        </w:rPr>
        <w:t xml:space="preserve"> map creation</w:t>
      </w:r>
    </w:p>
    <w:p w14:paraId="5EE3164F" w14:textId="77777777" w:rsidR="007F1B07" w:rsidRPr="007F1B07" w:rsidRDefault="007F1B07" w:rsidP="007F1B07">
      <w:pPr>
        <w:pStyle w:val="ListParagraph"/>
        <w:numPr>
          <w:ilvl w:val="0"/>
          <w:numId w:val="11"/>
        </w:numPr>
        <w:spacing w:after="0" w:line="240" w:lineRule="auto"/>
        <w:rPr>
          <w:rFonts w:ascii="Garamond" w:hAnsi="Garamond"/>
          <w:sz w:val="24"/>
          <w:szCs w:val="24"/>
        </w:rPr>
      </w:pPr>
      <w:r w:rsidRPr="007F1B07">
        <w:rPr>
          <w:rFonts w:ascii="Garamond" w:hAnsi="Garamond"/>
          <w:color w:val="000000"/>
        </w:rPr>
        <w:t>R – data processing, statistical analysis, and figure generation</w:t>
      </w:r>
    </w:p>
    <w:p w14:paraId="1FCC88C1" w14:textId="77777777" w:rsidR="007F1B07" w:rsidRPr="007F1B07" w:rsidRDefault="007F1B07" w:rsidP="007F1B07">
      <w:pPr>
        <w:pStyle w:val="ListParagraph"/>
        <w:numPr>
          <w:ilvl w:val="0"/>
          <w:numId w:val="11"/>
        </w:numPr>
        <w:spacing w:after="0" w:line="240" w:lineRule="auto"/>
        <w:rPr>
          <w:rFonts w:ascii="Garamond" w:hAnsi="Garamond"/>
          <w:sz w:val="24"/>
          <w:szCs w:val="24"/>
        </w:rPr>
      </w:pPr>
      <w:r w:rsidRPr="007F1B07">
        <w:rPr>
          <w:rFonts w:ascii="Garamond" w:hAnsi="Garamond"/>
          <w:color w:val="000000"/>
        </w:rPr>
        <w:t>Python – data processing and analysis</w:t>
      </w:r>
    </w:p>
    <w:p w14:paraId="165B769D" w14:textId="77777777" w:rsidR="007F1B07" w:rsidRPr="007F1B07" w:rsidRDefault="007F1B07" w:rsidP="007F1B07">
      <w:pPr>
        <w:pStyle w:val="ListParagraph"/>
        <w:numPr>
          <w:ilvl w:val="0"/>
          <w:numId w:val="11"/>
        </w:numPr>
        <w:spacing w:after="0" w:line="240" w:lineRule="auto"/>
        <w:rPr>
          <w:rFonts w:ascii="Garamond" w:hAnsi="Garamond"/>
          <w:sz w:val="24"/>
          <w:szCs w:val="24"/>
        </w:rPr>
      </w:pPr>
      <w:r w:rsidRPr="007F1B07">
        <w:rPr>
          <w:rFonts w:ascii="Garamond" w:hAnsi="Garamond"/>
          <w:color w:val="000000"/>
        </w:rPr>
        <w:t>MATLAB – data analysis and figure generation</w:t>
      </w:r>
    </w:p>
    <w:p w14:paraId="591A85AF" w14:textId="35941594" w:rsidR="007F1B07" w:rsidRPr="007F1B07" w:rsidRDefault="007F1B07" w:rsidP="007F1B07">
      <w:pPr>
        <w:pStyle w:val="ListParagraph"/>
        <w:numPr>
          <w:ilvl w:val="0"/>
          <w:numId w:val="11"/>
        </w:numPr>
        <w:spacing w:after="0" w:line="240" w:lineRule="auto"/>
        <w:rPr>
          <w:rFonts w:ascii="Garamond" w:hAnsi="Garamond"/>
          <w:sz w:val="24"/>
          <w:szCs w:val="24"/>
        </w:rPr>
      </w:pPr>
      <w:r w:rsidRPr="007F1B07">
        <w:rPr>
          <w:rFonts w:ascii="Garamond" w:hAnsi="Garamond"/>
          <w:color w:val="000000"/>
        </w:rPr>
        <w:t>ACOLITE – atmospheric correction and processing for Landsat 8 OLI</w:t>
      </w:r>
      <w:r w:rsidR="00037907">
        <w:rPr>
          <w:rFonts w:ascii="Garamond" w:hAnsi="Garamond"/>
          <w:color w:val="000000"/>
        </w:rPr>
        <w:t xml:space="preserve"> </w:t>
      </w:r>
      <w:r w:rsidR="00EB5DAB">
        <w:rPr>
          <w:rFonts w:ascii="Garamond" w:hAnsi="Garamond"/>
          <w:color w:val="000000"/>
        </w:rPr>
        <w:t>and</w:t>
      </w:r>
      <w:r w:rsidR="00EB5DAB" w:rsidRPr="007F1B07">
        <w:rPr>
          <w:rFonts w:ascii="Garamond" w:hAnsi="Garamond"/>
          <w:color w:val="000000"/>
        </w:rPr>
        <w:t xml:space="preserve"> Sentinel</w:t>
      </w:r>
      <w:r w:rsidRPr="007F1B07">
        <w:rPr>
          <w:rFonts w:ascii="Garamond" w:hAnsi="Garamond"/>
          <w:color w:val="000000"/>
        </w:rPr>
        <w:t xml:space="preserve"> 2</w:t>
      </w:r>
    </w:p>
    <w:p w14:paraId="778A9515" w14:textId="1387C007" w:rsidR="007F1B07" w:rsidRPr="007F1B07" w:rsidRDefault="007F1B07" w:rsidP="007F1B07">
      <w:pPr>
        <w:pStyle w:val="ListParagraph"/>
        <w:numPr>
          <w:ilvl w:val="0"/>
          <w:numId w:val="11"/>
        </w:numPr>
        <w:spacing w:after="0" w:line="240" w:lineRule="auto"/>
        <w:rPr>
          <w:rFonts w:ascii="Garamond" w:hAnsi="Garamond"/>
          <w:sz w:val="24"/>
          <w:szCs w:val="24"/>
        </w:rPr>
      </w:pPr>
      <w:proofErr w:type="spellStart"/>
      <w:r w:rsidRPr="007F1B07">
        <w:rPr>
          <w:rFonts w:ascii="Garamond" w:hAnsi="Garamond"/>
          <w:color w:val="000000"/>
        </w:rPr>
        <w:t>SeaDAS</w:t>
      </w:r>
      <w:proofErr w:type="spellEnd"/>
      <w:r w:rsidRPr="007F1B07">
        <w:rPr>
          <w:rFonts w:ascii="Garamond" w:hAnsi="Garamond"/>
          <w:color w:val="000000"/>
        </w:rPr>
        <w:t xml:space="preserve"> – corrections and processing for Sentinel 3</w:t>
      </w:r>
    </w:p>
    <w:p w14:paraId="600E51BE" w14:textId="77777777" w:rsidR="007F1B07" w:rsidRPr="007F1B07" w:rsidRDefault="007F1B07" w:rsidP="007F1B07">
      <w:pPr>
        <w:pStyle w:val="ListParagraph"/>
        <w:numPr>
          <w:ilvl w:val="0"/>
          <w:numId w:val="11"/>
        </w:numPr>
        <w:spacing w:after="0" w:line="240" w:lineRule="auto"/>
        <w:rPr>
          <w:rFonts w:ascii="Garamond" w:hAnsi="Garamond"/>
          <w:sz w:val="24"/>
          <w:szCs w:val="24"/>
        </w:rPr>
      </w:pPr>
      <w:r w:rsidRPr="007F1B07">
        <w:rPr>
          <w:rFonts w:ascii="Garamond" w:hAnsi="Garamond"/>
          <w:color w:val="000000"/>
        </w:rPr>
        <w:t>SNAP – Sentinel visualization and analysis</w:t>
      </w:r>
    </w:p>
    <w:p w14:paraId="3606009C" w14:textId="77777777" w:rsidR="007F1B07" w:rsidRPr="007F1B07" w:rsidRDefault="007F1B07" w:rsidP="007F1B07">
      <w:pPr>
        <w:pStyle w:val="ListParagraph"/>
        <w:numPr>
          <w:ilvl w:val="0"/>
          <w:numId w:val="11"/>
        </w:numPr>
        <w:spacing w:after="0" w:line="240" w:lineRule="auto"/>
        <w:rPr>
          <w:rFonts w:ascii="Garamond" w:eastAsia="Times New Roman" w:hAnsi="Garamond"/>
          <w:sz w:val="24"/>
          <w:szCs w:val="24"/>
        </w:rPr>
      </w:pPr>
      <w:r w:rsidRPr="007F1B07">
        <w:rPr>
          <w:rFonts w:ascii="Garamond" w:eastAsia="Times New Roman" w:hAnsi="Garamond"/>
          <w:color w:val="000000"/>
        </w:rPr>
        <w:t>Adobe Creative Suite – graphics, time-series turbidity animations</w:t>
      </w:r>
    </w:p>
    <w:p w14:paraId="1F8F6AEE" w14:textId="77777777" w:rsidR="00624731" w:rsidRDefault="00624731" w:rsidP="00CC6870">
      <w:pPr>
        <w:spacing w:after="0" w:line="240" w:lineRule="auto"/>
        <w:rPr>
          <w:rFonts w:ascii="Garamond" w:hAnsi="Garamond" w:cs="Arial"/>
        </w:rPr>
      </w:pPr>
    </w:p>
    <w:p w14:paraId="69BA3CDB" w14:textId="52B6D757" w:rsidR="00624731" w:rsidRPr="00603BB8" w:rsidRDefault="00624731" w:rsidP="00624731">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 xml:space="preserve">Project </w:t>
      </w:r>
      <w:r>
        <w:rPr>
          <w:rFonts w:ascii="Century Gothic" w:hAnsi="Century Gothic" w:cs="Arial"/>
          <w:b/>
          <w:szCs w:val="20"/>
        </w:rPr>
        <w:t>Handoff Package</w:t>
      </w:r>
    </w:p>
    <w:p w14:paraId="5019E63E" w14:textId="77777777" w:rsidR="00B40BAB" w:rsidRPr="00D579FC" w:rsidRDefault="00B40BAB" w:rsidP="00B40BAB">
      <w:pPr>
        <w:spacing w:after="0" w:line="240" w:lineRule="auto"/>
        <w:rPr>
          <w:rFonts w:ascii="Century Gothic" w:hAnsi="Century Gothic" w:cs="Arial"/>
          <w:b/>
          <w:sz w:val="20"/>
          <w:szCs w:val="20"/>
        </w:rPr>
      </w:pPr>
      <w:r>
        <w:rPr>
          <w:rFonts w:ascii="Century Gothic" w:hAnsi="Century Gothic" w:cs="Arial"/>
          <w:b/>
          <w:sz w:val="20"/>
          <w:szCs w:val="20"/>
        </w:rPr>
        <w:t>Transition Plan:</w:t>
      </w:r>
    </w:p>
    <w:p w14:paraId="79D3A51B" w14:textId="7A6EB48F" w:rsidR="007F1B07" w:rsidRDefault="007F1B07" w:rsidP="00B40BAB">
      <w:pPr>
        <w:spacing w:after="0" w:line="240" w:lineRule="auto"/>
        <w:rPr>
          <w:rFonts w:ascii="Garamond" w:hAnsi="Garamond" w:cs="Arial"/>
        </w:rPr>
      </w:pPr>
      <w:r>
        <w:rPr>
          <w:rFonts w:ascii="Garamond" w:hAnsi="Garamond" w:cs="Arial"/>
        </w:rPr>
        <w:t>During the last partner call (week 9 or 10), we will review our presentation for close out with our partners via WebEx. We will let them know the date they can expect to receive a LFT for all the items listed in the Handoff Package.</w:t>
      </w:r>
    </w:p>
    <w:p w14:paraId="2A7C5CD3" w14:textId="77777777" w:rsidR="003F5381" w:rsidRDefault="003F5381" w:rsidP="00B40BAB">
      <w:pPr>
        <w:spacing w:after="0" w:line="240" w:lineRule="auto"/>
        <w:rPr>
          <w:rFonts w:ascii="Garamond" w:hAnsi="Garamond" w:cs="Arial"/>
        </w:rPr>
      </w:pPr>
    </w:p>
    <w:p w14:paraId="7A71B461" w14:textId="404CC4FE" w:rsidR="00F33A7B" w:rsidRPr="007F1B07" w:rsidRDefault="00F33A7B" w:rsidP="00F33A7B">
      <w:pPr>
        <w:spacing w:after="0" w:line="240" w:lineRule="auto"/>
        <w:rPr>
          <w:rFonts w:ascii="Times New Roman" w:eastAsia="Times New Roman" w:hAnsi="Times New Roman"/>
          <w:sz w:val="24"/>
          <w:szCs w:val="24"/>
        </w:rPr>
      </w:pPr>
      <w:r>
        <w:rPr>
          <w:rFonts w:ascii="Garamond" w:hAnsi="Garamond" w:cs="Arial"/>
          <w:i/>
        </w:rPr>
        <w:t xml:space="preserve">Project </w:t>
      </w:r>
      <w:r w:rsidR="00AD0A13">
        <w:rPr>
          <w:rFonts w:ascii="Garamond" w:hAnsi="Garamond" w:cs="Arial"/>
          <w:i/>
        </w:rPr>
        <w:t xml:space="preserve">Continuation </w:t>
      </w:r>
      <w:r>
        <w:rPr>
          <w:rFonts w:ascii="Garamond" w:hAnsi="Garamond" w:cs="Arial"/>
          <w:i/>
        </w:rPr>
        <w:t>Plan</w:t>
      </w:r>
      <w:r>
        <w:rPr>
          <w:rFonts w:ascii="Garamond" w:hAnsi="Garamond" w:cs="Arial"/>
        </w:rPr>
        <w:t xml:space="preserve">: </w:t>
      </w:r>
      <w:r w:rsidR="007F1B07" w:rsidRPr="007F1B07">
        <w:rPr>
          <w:rFonts w:ascii="Garamond" w:eastAsia="Times New Roman" w:hAnsi="Garamond"/>
          <w:color w:val="000000"/>
        </w:rPr>
        <w:t>The Bay-Delta Water Resources project is scheduled for two subsequent terms at JPL. Our hand-off plan will involve leaving commented-out scripts</w:t>
      </w:r>
      <w:r w:rsidR="002105FE">
        <w:rPr>
          <w:rFonts w:ascii="Garamond" w:eastAsia="Times New Roman" w:hAnsi="Garamond"/>
          <w:color w:val="000000"/>
        </w:rPr>
        <w:t xml:space="preserve"> and </w:t>
      </w:r>
      <w:r w:rsidR="007F1B07" w:rsidRPr="007F1B07">
        <w:rPr>
          <w:rFonts w:ascii="Garamond" w:eastAsia="Times New Roman" w:hAnsi="Garamond"/>
          <w:color w:val="000000"/>
        </w:rPr>
        <w:t xml:space="preserve">code in the proper DEVELOP format and providing an archive of data and images </w:t>
      </w:r>
      <w:r w:rsidR="00037907">
        <w:rPr>
          <w:rFonts w:ascii="Garamond" w:eastAsia="Times New Roman" w:hAnsi="Garamond"/>
          <w:color w:val="000000"/>
        </w:rPr>
        <w:t xml:space="preserve">for the next team </w:t>
      </w:r>
      <w:r w:rsidR="007F1B07" w:rsidRPr="007F1B07">
        <w:rPr>
          <w:rFonts w:ascii="Garamond" w:eastAsia="Times New Roman" w:hAnsi="Garamond"/>
          <w:color w:val="000000"/>
        </w:rPr>
        <w:t>on physical hard drives left in the care of our science advisor.</w:t>
      </w:r>
    </w:p>
    <w:p w14:paraId="310415B5" w14:textId="77777777" w:rsidR="00D76446" w:rsidRPr="00552BE4" w:rsidRDefault="00D76446" w:rsidP="00D76446">
      <w:pPr>
        <w:spacing w:after="0" w:line="240" w:lineRule="auto"/>
        <w:ind w:left="360" w:hanging="360"/>
        <w:rPr>
          <w:rFonts w:ascii="Century Gothic" w:hAnsi="Century Gothic" w:cs="Arial"/>
          <w:b/>
        </w:rPr>
      </w:pPr>
    </w:p>
    <w:p w14:paraId="3F5248F1" w14:textId="41ED0DE3" w:rsidR="00052B8D" w:rsidRDefault="00052B8D" w:rsidP="00D76446">
      <w:pPr>
        <w:spacing w:after="0" w:line="240" w:lineRule="auto"/>
        <w:ind w:left="360" w:hanging="360"/>
        <w:rPr>
          <w:rFonts w:ascii="Century Gothic" w:hAnsi="Century Gothic" w:cs="Arial"/>
          <w:b/>
          <w:sz w:val="20"/>
        </w:rPr>
      </w:pPr>
      <w:r>
        <w:rPr>
          <w:rFonts w:ascii="Century Gothic" w:hAnsi="Century Gothic" w:cs="Arial"/>
          <w:b/>
          <w:sz w:val="20"/>
        </w:rPr>
        <w:t xml:space="preserve">Team POC: </w:t>
      </w:r>
      <w:r w:rsidR="007F1B07">
        <w:rPr>
          <w:rFonts w:ascii="Garamond" w:hAnsi="Garamond" w:cs="Arial"/>
        </w:rPr>
        <w:t>Katherine Cavanaugh, cavaka01@gmail.com</w:t>
      </w:r>
    </w:p>
    <w:p w14:paraId="18379B7D" w14:textId="5C2E0C5A" w:rsidR="007F1B07" w:rsidRPr="007F1B07" w:rsidRDefault="00D76446" w:rsidP="007F1B07">
      <w:pPr>
        <w:spacing w:after="0" w:line="240" w:lineRule="auto"/>
        <w:rPr>
          <w:rFonts w:ascii="Garamond" w:eastAsia="Times New Roman" w:hAnsi="Garamond"/>
          <w:sz w:val="24"/>
          <w:szCs w:val="24"/>
        </w:rPr>
      </w:pPr>
      <w:r w:rsidRPr="00210FA0">
        <w:rPr>
          <w:rFonts w:ascii="Century Gothic" w:hAnsi="Century Gothic" w:cs="Arial"/>
          <w:b/>
          <w:sz w:val="20"/>
        </w:rPr>
        <w:t>Partner POC</w:t>
      </w:r>
      <w:r w:rsidRPr="00210FA0">
        <w:rPr>
          <w:rFonts w:ascii="Century Gothic" w:hAnsi="Century Gothic" w:cs="Arial"/>
          <w:sz w:val="20"/>
        </w:rPr>
        <w:t>:</w:t>
      </w:r>
      <w:r w:rsidRPr="00210FA0">
        <w:rPr>
          <w:rFonts w:ascii="Garamond" w:hAnsi="Garamond" w:cs="Arial"/>
          <w:sz w:val="20"/>
        </w:rPr>
        <w:t xml:space="preserve"> </w:t>
      </w:r>
      <w:r w:rsidR="007F1B07" w:rsidRPr="007F1B07">
        <w:rPr>
          <w:rFonts w:ascii="Garamond" w:eastAsia="Times New Roman" w:hAnsi="Garamond"/>
          <w:color w:val="000000"/>
        </w:rPr>
        <w:t>David Fullerton, dfullerton@mwdh2o.com</w:t>
      </w:r>
    </w:p>
    <w:p w14:paraId="0D2D2F76" w14:textId="1D81D0E5" w:rsidR="001F7584" w:rsidRDefault="001F7584" w:rsidP="007F1B07">
      <w:pPr>
        <w:spacing w:after="0" w:line="240" w:lineRule="auto"/>
        <w:ind w:left="360" w:hanging="360"/>
        <w:rPr>
          <w:rFonts w:ascii="Garamond" w:hAnsi="Garamond" w:cs="Arial"/>
        </w:rPr>
      </w:pPr>
    </w:p>
    <w:p w14:paraId="3EA16107" w14:textId="4F9F7D0C" w:rsidR="001F7584" w:rsidRPr="00D579FC" w:rsidRDefault="00BE6FB9" w:rsidP="001F7584">
      <w:pPr>
        <w:spacing w:after="0" w:line="240" w:lineRule="auto"/>
        <w:rPr>
          <w:rFonts w:ascii="Century Gothic" w:hAnsi="Century Gothic" w:cs="Arial"/>
          <w:b/>
          <w:sz w:val="20"/>
          <w:szCs w:val="20"/>
        </w:rPr>
      </w:pPr>
      <w:r>
        <w:rPr>
          <w:rFonts w:ascii="Century Gothic" w:hAnsi="Century Gothic" w:cs="Arial"/>
          <w:b/>
          <w:sz w:val="20"/>
          <w:szCs w:val="20"/>
        </w:rPr>
        <w:t>Handoff Package</w:t>
      </w:r>
      <w:r w:rsidR="001F7584">
        <w:rPr>
          <w:rFonts w:ascii="Century Gothic" w:hAnsi="Century Gothic" w:cs="Arial"/>
          <w:b/>
          <w:sz w:val="20"/>
          <w:szCs w:val="20"/>
        </w:rPr>
        <w:t>:</w:t>
      </w:r>
    </w:p>
    <w:p w14:paraId="19826D7A" w14:textId="0CC7BB51" w:rsidR="001F7584" w:rsidRDefault="007F1B07" w:rsidP="001F7584">
      <w:pPr>
        <w:pStyle w:val="ListParagraph"/>
        <w:numPr>
          <w:ilvl w:val="0"/>
          <w:numId w:val="14"/>
        </w:numPr>
        <w:spacing w:after="0" w:line="240" w:lineRule="auto"/>
        <w:rPr>
          <w:rFonts w:ascii="Garamond" w:hAnsi="Garamond" w:cs="Arial"/>
        </w:rPr>
      </w:pPr>
      <w:r>
        <w:rPr>
          <w:rFonts w:ascii="Garamond" w:hAnsi="Garamond" w:cs="Arial"/>
        </w:rPr>
        <w:t>Turbidity maps</w:t>
      </w:r>
    </w:p>
    <w:p w14:paraId="194850A1" w14:textId="6B71E587" w:rsidR="007F1B07" w:rsidRDefault="007F1B07" w:rsidP="007F1B07">
      <w:pPr>
        <w:pStyle w:val="ListParagraph"/>
        <w:numPr>
          <w:ilvl w:val="0"/>
          <w:numId w:val="14"/>
        </w:numPr>
        <w:spacing w:after="0" w:line="240" w:lineRule="auto"/>
        <w:rPr>
          <w:rFonts w:ascii="Garamond" w:hAnsi="Garamond" w:cs="Arial"/>
        </w:rPr>
      </w:pPr>
      <w:r w:rsidRPr="00EB5DAB">
        <w:rPr>
          <w:rFonts w:ascii="Garamond" w:hAnsi="Garamond" w:cs="Arial"/>
          <w:i/>
        </w:rPr>
        <w:t>In</w:t>
      </w:r>
      <w:r w:rsidR="00037907" w:rsidRPr="00EB5DAB">
        <w:rPr>
          <w:rFonts w:ascii="Garamond" w:hAnsi="Garamond" w:cs="Arial"/>
          <w:i/>
        </w:rPr>
        <w:t xml:space="preserve"> </w:t>
      </w:r>
      <w:r w:rsidRPr="00EB5DAB">
        <w:rPr>
          <w:rFonts w:ascii="Garamond" w:hAnsi="Garamond" w:cs="Arial"/>
          <w:i/>
        </w:rPr>
        <w:t>situ</w:t>
      </w:r>
      <w:r w:rsidR="00037907" w:rsidRPr="00EB5DAB">
        <w:rPr>
          <w:rFonts w:ascii="Garamond" w:hAnsi="Garamond" w:cs="Arial"/>
          <w:i/>
        </w:rPr>
        <w:t xml:space="preserve"> </w:t>
      </w:r>
      <w:r w:rsidR="00EB5DAB">
        <w:rPr>
          <w:rFonts w:ascii="Garamond" w:hAnsi="Garamond" w:cs="Arial"/>
        </w:rPr>
        <w:t>vs. satellite</w:t>
      </w:r>
      <w:r>
        <w:rPr>
          <w:rFonts w:ascii="Garamond" w:hAnsi="Garamond" w:cs="Arial"/>
        </w:rPr>
        <w:t xml:space="preserve"> comparisons</w:t>
      </w:r>
    </w:p>
    <w:p w14:paraId="19E54D00" w14:textId="246CF104" w:rsidR="007F1B07" w:rsidRDefault="007F1B07" w:rsidP="001F7584">
      <w:pPr>
        <w:pStyle w:val="ListParagraph"/>
        <w:numPr>
          <w:ilvl w:val="0"/>
          <w:numId w:val="14"/>
        </w:numPr>
        <w:spacing w:after="0" w:line="240" w:lineRule="auto"/>
        <w:rPr>
          <w:rFonts w:ascii="Garamond" w:hAnsi="Garamond" w:cs="Arial"/>
        </w:rPr>
      </w:pPr>
      <w:r>
        <w:rPr>
          <w:rFonts w:ascii="Garamond" w:hAnsi="Garamond" w:cs="Arial"/>
        </w:rPr>
        <w:lastRenderedPageBreak/>
        <w:t>Poster</w:t>
      </w:r>
    </w:p>
    <w:p w14:paraId="6569BC62" w14:textId="4263C75C" w:rsidR="007F1B07" w:rsidRDefault="007F1B07" w:rsidP="001F7584">
      <w:pPr>
        <w:pStyle w:val="ListParagraph"/>
        <w:numPr>
          <w:ilvl w:val="0"/>
          <w:numId w:val="14"/>
        </w:numPr>
        <w:spacing w:after="0" w:line="240" w:lineRule="auto"/>
        <w:rPr>
          <w:rFonts w:ascii="Garamond" w:hAnsi="Garamond" w:cs="Arial"/>
        </w:rPr>
      </w:pPr>
      <w:r>
        <w:rPr>
          <w:rFonts w:ascii="Garamond" w:hAnsi="Garamond" w:cs="Arial"/>
        </w:rPr>
        <w:t>Presentation</w:t>
      </w:r>
    </w:p>
    <w:p w14:paraId="0266F223" w14:textId="2CE4B5BF" w:rsidR="007F1B07" w:rsidRDefault="007F1B07" w:rsidP="001F7584">
      <w:pPr>
        <w:pStyle w:val="ListParagraph"/>
        <w:numPr>
          <w:ilvl w:val="0"/>
          <w:numId w:val="14"/>
        </w:numPr>
        <w:spacing w:after="0" w:line="240" w:lineRule="auto"/>
        <w:rPr>
          <w:rFonts w:ascii="Garamond" w:hAnsi="Garamond" w:cs="Arial"/>
        </w:rPr>
      </w:pPr>
      <w:r>
        <w:rPr>
          <w:rFonts w:ascii="Garamond" w:hAnsi="Garamond" w:cs="Arial"/>
        </w:rPr>
        <w:t>VPS video</w:t>
      </w:r>
    </w:p>
    <w:p w14:paraId="08E3F96E" w14:textId="5D1D307C" w:rsidR="007F1B07" w:rsidRPr="00F33A7B" w:rsidRDefault="007F1B07" w:rsidP="001F7584">
      <w:pPr>
        <w:pStyle w:val="ListParagraph"/>
        <w:numPr>
          <w:ilvl w:val="0"/>
          <w:numId w:val="14"/>
        </w:numPr>
        <w:spacing w:after="0" w:line="240" w:lineRule="auto"/>
        <w:rPr>
          <w:rFonts w:ascii="Garamond" w:hAnsi="Garamond" w:cs="Arial"/>
        </w:rPr>
      </w:pPr>
      <w:r>
        <w:rPr>
          <w:rFonts w:ascii="Garamond" w:hAnsi="Garamond" w:cs="Arial"/>
        </w:rPr>
        <w:t>Technical paper</w:t>
      </w:r>
    </w:p>
    <w:sectPr w:rsidR="007F1B07" w:rsidRPr="00F33A7B" w:rsidSect="002E437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82747" w14:textId="77777777" w:rsidR="00047550" w:rsidRDefault="00047550" w:rsidP="00816220">
      <w:pPr>
        <w:spacing w:after="0" w:line="240" w:lineRule="auto"/>
      </w:pPr>
      <w:r>
        <w:separator/>
      </w:r>
    </w:p>
  </w:endnote>
  <w:endnote w:type="continuationSeparator" w:id="0">
    <w:p w14:paraId="653166E0" w14:textId="77777777" w:rsidR="00047550" w:rsidRDefault="0004755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974E6" w14:textId="77777777" w:rsidR="00047550" w:rsidRDefault="00047550" w:rsidP="00816220">
      <w:pPr>
        <w:spacing w:after="0" w:line="240" w:lineRule="auto"/>
      </w:pPr>
      <w:r>
        <w:separator/>
      </w:r>
    </w:p>
  </w:footnote>
  <w:footnote w:type="continuationSeparator" w:id="0">
    <w:p w14:paraId="66CAFA04" w14:textId="77777777" w:rsidR="00047550" w:rsidRDefault="00047550" w:rsidP="008162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D71D0"/>
    <w:multiLevelType w:val="hybridMultilevel"/>
    <w:tmpl w:val="0EA6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nsid w:val="43A25817"/>
    <w:multiLevelType w:val="hybridMultilevel"/>
    <w:tmpl w:val="FE9C4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B6BE7"/>
    <w:multiLevelType w:val="hybridMultilevel"/>
    <w:tmpl w:val="757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5"/>
  </w:num>
  <w:num w:numId="5">
    <w:abstractNumId w:val="5"/>
  </w:num>
  <w:num w:numId="6">
    <w:abstractNumId w:val="3"/>
  </w:num>
  <w:num w:numId="7">
    <w:abstractNumId w:val="0"/>
  </w:num>
  <w:num w:numId="8">
    <w:abstractNumId w:val="4"/>
  </w:num>
  <w:num w:numId="9">
    <w:abstractNumId w:val="7"/>
  </w:num>
  <w:num w:numId="10">
    <w:abstractNumId w:val="14"/>
  </w:num>
  <w:num w:numId="11">
    <w:abstractNumId w:val="13"/>
  </w:num>
  <w:num w:numId="12">
    <w:abstractNumId w:val="9"/>
  </w:num>
  <w:num w:numId="13">
    <w:abstractNumId w:val="8"/>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06EE4"/>
    <w:rsid w:val="00037907"/>
    <w:rsid w:val="00037ED9"/>
    <w:rsid w:val="00047550"/>
    <w:rsid w:val="00052B8D"/>
    <w:rsid w:val="000573CD"/>
    <w:rsid w:val="00062696"/>
    <w:rsid w:val="000679A3"/>
    <w:rsid w:val="00071662"/>
    <w:rsid w:val="00072BB5"/>
    <w:rsid w:val="000A2569"/>
    <w:rsid w:val="000A2B97"/>
    <w:rsid w:val="000A60A0"/>
    <w:rsid w:val="000A7821"/>
    <w:rsid w:val="000B7E2B"/>
    <w:rsid w:val="000C0E41"/>
    <w:rsid w:val="000D1653"/>
    <w:rsid w:val="000E33DD"/>
    <w:rsid w:val="000E4D46"/>
    <w:rsid w:val="000E7559"/>
    <w:rsid w:val="00110DF5"/>
    <w:rsid w:val="00112740"/>
    <w:rsid w:val="00112C93"/>
    <w:rsid w:val="0013488C"/>
    <w:rsid w:val="00141368"/>
    <w:rsid w:val="00164A0E"/>
    <w:rsid w:val="001726C7"/>
    <w:rsid w:val="001A2E4E"/>
    <w:rsid w:val="001C030D"/>
    <w:rsid w:val="001C0A6B"/>
    <w:rsid w:val="001C4582"/>
    <w:rsid w:val="001D5441"/>
    <w:rsid w:val="001F7584"/>
    <w:rsid w:val="00200201"/>
    <w:rsid w:val="002105FE"/>
    <w:rsid w:val="00210FA0"/>
    <w:rsid w:val="00215326"/>
    <w:rsid w:val="00225D13"/>
    <w:rsid w:val="00226B51"/>
    <w:rsid w:val="002423E9"/>
    <w:rsid w:val="00243CAE"/>
    <w:rsid w:val="002456D5"/>
    <w:rsid w:val="002469C9"/>
    <w:rsid w:val="002516A3"/>
    <w:rsid w:val="00275A67"/>
    <w:rsid w:val="00275DF1"/>
    <w:rsid w:val="0028618E"/>
    <w:rsid w:val="00297863"/>
    <w:rsid w:val="002A4971"/>
    <w:rsid w:val="002A6AE4"/>
    <w:rsid w:val="002B3988"/>
    <w:rsid w:val="002D0C33"/>
    <w:rsid w:val="002D2EE4"/>
    <w:rsid w:val="002E03CA"/>
    <w:rsid w:val="002E4378"/>
    <w:rsid w:val="002F6F11"/>
    <w:rsid w:val="00302744"/>
    <w:rsid w:val="003053B0"/>
    <w:rsid w:val="00313897"/>
    <w:rsid w:val="00326EA1"/>
    <w:rsid w:val="0034120B"/>
    <w:rsid w:val="003545A4"/>
    <w:rsid w:val="00354FC7"/>
    <w:rsid w:val="003A7382"/>
    <w:rsid w:val="003A7792"/>
    <w:rsid w:val="003B2A86"/>
    <w:rsid w:val="003E702A"/>
    <w:rsid w:val="003F2639"/>
    <w:rsid w:val="003F5381"/>
    <w:rsid w:val="003F68F5"/>
    <w:rsid w:val="003F78D8"/>
    <w:rsid w:val="00402FAF"/>
    <w:rsid w:val="00403097"/>
    <w:rsid w:val="00420300"/>
    <w:rsid w:val="00424C04"/>
    <w:rsid w:val="0042763C"/>
    <w:rsid w:val="00434799"/>
    <w:rsid w:val="004357F4"/>
    <w:rsid w:val="0045277F"/>
    <w:rsid w:val="00452BB0"/>
    <w:rsid w:val="00454EA3"/>
    <w:rsid w:val="004610EE"/>
    <w:rsid w:val="00470436"/>
    <w:rsid w:val="00472AAD"/>
    <w:rsid w:val="0047457F"/>
    <w:rsid w:val="00486C4B"/>
    <w:rsid w:val="004901C5"/>
    <w:rsid w:val="00494141"/>
    <w:rsid w:val="00494AE0"/>
    <w:rsid w:val="004A0712"/>
    <w:rsid w:val="004B4C28"/>
    <w:rsid w:val="004B6D85"/>
    <w:rsid w:val="004C3536"/>
    <w:rsid w:val="004D2F4F"/>
    <w:rsid w:val="004D64E2"/>
    <w:rsid w:val="004F14F8"/>
    <w:rsid w:val="004F5678"/>
    <w:rsid w:val="00500D7C"/>
    <w:rsid w:val="00501143"/>
    <w:rsid w:val="00520FF6"/>
    <w:rsid w:val="005326E7"/>
    <w:rsid w:val="00542F80"/>
    <w:rsid w:val="00550F38"/>
    <w:rsid w:val="00552BE4"/>
    <w:rsid w:val="00592371"/>
    <w:rsid w:val="0059630D"/>
    <w:rsid w:val="005A0ACF"/>
    <w:rsid w:val="0060022A"/>
    <w:rsid w:val="00603BB8"/>
    <w:rsid w:val="00604C1F"/>
    <w:rsid w:val="00605CF2"/>
    <w:rsid w:val="00624731"/>
    <w:rsid w:val="00627D6A"/>
    <w:rsid w:val="00637325"/>
    <w:rsid w:val="006550F0"/>
    <w:rsid w:val="00655EA6"/>
    <w:rsid w:val="00660525"/>
    <w:rsid w:val="0066463C"/>
    <w:rsid w:val="00665678"/>
    <w:rsid w:val="00665765"/>
    <w:rsid w:val="00670A29"/>
    <w:rsid w:val="00677CB8"/>
    <w:rsid w:val="006923D3"/>
    <w:rsid w:val="006A3A0B"/>
    <w:rsid w:val="006A6894"/>
    <w:rsid w:val="006B3C1B"/>
    <w:rsid w:val="006D4D57"/>
    <w:rsid w:val="006D573E"/>
    <w:rsid w:val="006E19D7"/>
    <w:rsid w:val="006F18ED"/>
    <w:rsid w:val="00707C56"/>
    <w:rsid w:val="00710798"/>
    <w:rsid w:val="00720DF2"/>
    <w:rsid w:val="0072641C"/>
    <w:rsid w:val="007338D2"/>
    <w:rsid w:val="007512A3"/>
    <w:rsid w:val="0075569C"/>
    <w:rsid w:val="00770D88"/>
    <w:rsid w:val="00777B02"/>
    <w:rsid w:val="00796B9C"/>
    <w:rsid w:val="007B4BA9"/>
    <w:rsid w:val="007B780C"/>
    <w:rsid w:val="007C73E8"/>
    <w:rsid w:val="007E48F8"/>
    <w:rsid w:val="007E4F6F"/>
    <w:rsid w:val="007F04BC"/>
    <w:rsid w:val="007F1B07"/>
    <w:rsid w:val="007F4355"/>
    <w:rsid w:val="007F6DAD"/>
    <w:rsid w:val="00816220"/>
    <w:rsid w:val="00826084"/>
    <w:rsid w:val="00847352"/>
    <w:rsid w:val="00853473"/>
    <w:rsid w:val="00860A65"/>
    <w:rsid w:val="00867B8D"/>
    <w:rsid w:val="008701A1"/>
    <w:rsid w:val="00870E0A"/>
    <w:rsid w:val="008746A4"/>
    <w:rsid w:val="00874847"/>
    <w:rsid w:val="008806D2"/>
    <w:rsid w:val="008B166F"/>
    <w:rsid w:val="008B5DF1"/>
    <w:rsid w:val="00902BE7"/>
    <w:rsid w:val="0093138E"/>
    <w:rsid w:val="009366D7"/>
    <w:rsid w:val="00947CA7"/>
    <w:rsid w:val="009548B1"/>
    <w:rsid w:val="009562D8"/>
    <w:rsid w:val="0097582D"/>
    <w:rsid w:val="00987144"/>
    <w:rsid w:val="009A326F"/>
    <w:rsid w:val="009B0544"/>
    <w:rsid w:val="009B05DD"/>
    <w:rsid w:val="009B5AF3"/>
    <w:rsid w:val="009C6698"/>
    <w:rsid w:val="009D69DE"/>
    <w:rsid w:val="009E6FFC"/>
    <w:rsid w:val="009E7D75"/>
    <w:rsid w:val="009F1F94"/>
    <w:rsid w:val="00A16322"/>
    <w:rsid w:val="00A174D1"/>
    <w:rsid w:val="00A22A42"/>
    <w:rsid w:val="00A37BBD"/>
    <w:rsid w:val="00A557E5"/>
    <w:rsid w:val="00A60645"/>
    <w:rsid w:val="00A62116"/>
    <w:rsid w:val="00A87B61"/>
    <w:rsid w:val="00AA5AEF"/>
    <w:rsid w:val="00AB1221"/>
    <w:rsid w:val="00AB77AB"/>
    <w:rsid w:val="00AC0354"/>
    <w:rsid w:val="00AC5084"/>
    <w:rsid w:val="00AC5AEC"/>
    <w:rsid w:val="00AC7AEB"/>
    <w:rsid w:val="00AD0A13"/>
    <w:rsid w:val="00AD64F4"/>
    <w:rsid w:val="00AD6679"/>
    <w:rsid w:val="00AD7C4E"/>
    <w:rsid w:val="00AF5B7F"/>
    <w:rsid w:val="00AF6A15"/>
    <w:rsid w:val="00B04370"/>
    <w:rsid w:val="00B04BDE"/>
    <w:rsid w:val="00B13087"/>
    <w:rsid w:val="00B23EAA"/>
    <w:rsid w:val="00B40BAB"/>
    <w:rsid w:val="00B46F89"/>
    <w:rsid w:val="00B50367"/>
    <w:rsid w:val="00B5078C"/>
    <w:rsid w:val="00B5282B"/>
    <w:rsid w:val="00B544E6"/>
    <w:rsid w:val="00B738A3"/>
    <w:rsid w:val="00B82BB6"/>
    <w:rsid w:val="00B85662"/>
    <w:rsid w:val="00B96E5F"/>
    <w:rsid w:val="00BA5773"/>
    <w:rsid w:val="00BA65D6"/>
    <w:rsid w:val="00BC6B3C"/>
    <w:rsid w:val="00BD7559"/>
    <w:rsid w:val="00BE6FB9"/>
    <w:rsid w:val="00BF1193"/>
    <w:rsid w:val="00BF2DED"/>
    <w:rsid w:val="00BF764B"/>
    <w:rsid w:val="00C1027B"/>
    <w:rsid w:val="00C10321"/>
    <w:rsid w:val="00C10AC5"/>
    <w:rsid w:val="00C356A1"/>
    <w:rsid w:val="00C370C2"/>
    <w:rsid w:val="00C40077"/>
    <w:rsid w:val="00C6294C"/>
    <w:rsid w:val="00C62DCD"/>
    <w:rsid w:val="00C6377B"/>
    <w:rsid w:val="00C76EA6"/>
    <w:rsid w:val="00C81041"/>
    <w:rsid w:val="00C82473"/>
    <w:rsid w:val="00CA4C99"/>
    <w:rsid w:val="00CB1B77"/>
    <w:rsid w:val="00CC1EF4"/>
    <w:rsid w:val="00CC559E"/>
    <w:rsid w:val="00CC6870"/>
    <w:rsid w:val="00D00A02"/>
    <w:rsid w:val="00D07F36"/>
    <w:rsid w:val="00D12B1D"/>
    <w:rsid w:val="00D13939"/>
    <w:rsid w:val="00D14FDD"/>
    <w:rsid w:val="00D202EE"/>
    <w:rsid w:val="00D304D8"/>
    <w:rsid w:val="00D339EB"/>
    <w:rsid w:val="00D41B8D"/>
    <w:rsid w:val="00D579FC"/>
    <w:rsid w:val="00D61A37"/>
    <w:rsid w:val="00D76446"/>
    <w:rsid w:val="00D9027A"/>
    <w:rsid w:val="00DB512D"/>
    <w:rsid w:val="00DE26F3"/>
    <w:rsid w:val="00DF236F"/>
    <w:rsid w:val="00E049B6"/>
    <w:rsid w:val="00E157E8"/>
    <w:rsid w:val="00E23569"/>
    <w:rsid w:val="00E25967"/>
    <w:rsid w:val="00E33287"/>
    <w:rsid w:val="00E35269"/>
    <w:rsid w:val="00E416D5"/>
    <w:rsid w:val="00E47923"/>
    <w:rsid w:val="00E507D0"/>
    <w:rsid w:val="00E73EFF"/>
    <w:rsid w:val="00E800CD"/>
    <w:rsid w:val="00E80174"/>
    <w:rsid w:val="00E86CE8"/>
    <w:rsid w:val="00E96701"/>
    <w:rsid w:val="00EA38B9"/>
    <w:rsid w:val="00EB54F0"/>
    <w:rsid w:val="00EB5DAB"/>
    <w:rsid w:val="00EB7CF9"/>
    <w:rsid w:val="00EC1081"/>
    <w:rsid w:val="00EC3E69"/>
    <w:rsid w:val="00ED0EAD"/>
    <w:rsid w:val="00ED4DA0"/>
    <w:rsid w:val="00EE2E47"/>
    <w:rsid w:val="00EE7148"/>
    <w:rsid w:val="00F13449"/>
    <w:rsid w:val="00F16CEF"/>
    <w:rsid w:val="00F1798C"/>
    <w:rsid w:val="00F251DB"/>
    <w:rsid w:val="00F261BD"/>
    <w:rsid w:val="00F276EE"/>
    <w:rsid w:val="00F30125"/>
    <w:rsid w:val="00F33A7B"/>
    <w:rsid w:val="00F36A8C"/>
    <w:rsid w:val="00F53A38"/>
    <w:rsid w:val="00F53CA9"/>
    <w:rsid w:val="00F6325C"/>
    <w:rsid w:val="00F64FA3"/>
    <w:rsid w:val="00F7451B"/>
    <w:rsid w:val="00F76AD7"/>
    <w:rsid w:val="00F82819"/>
    <w:rsid w:val="00F83291"/>
    <w:rsid w:val="00F84227"/>
    <w:rsid w:val="00F876B4"/>
    <w:rsid w:val="00F924DE"/>
    <w:rsid w:val="00F92AF3"/>
    <w:rsid w:val="00FA7CE4"/>
    <w:rsid w:val="00FB3853"/>
    <w:rsid w:val="00FB3CAE"/>
    <w:rsid w:val="00FD2337"/>
    <w:rsid w:val="00FD2D23"/>
    <w:rsid w:val="00FE1A81"/>
    <w:rsid w:val="00FE558C"/>
    <w:rsid w:val="00FE588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C2AAF0C2-381F-4AD0-98A7-49E55B3F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20DF2"/>
    <w:rPr>
      <w:sz w:val="22"/>
      <w:szCs w:val="22"/>
    </w:rPr>
  </w:style>
  <w:style w:type="paragraph" w:styleId="NormalWeb">
    <w:name w:val="Normal (Web)"/>
    <w:basedOn w:val="Normal"/>
    <w:uiPriority w:val="99"/>
    <w:semiHidden/>
    <w:unhideWhenUsed/>
    <w:rsid w:val="009C669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33864">
      <w:bodyDiv w:val="1"/>
      <w:marLeft w:val="0"/>
      <w:marRight w:val="0"/>
      <w:marTop w:val="0"/>
      <w:marBottom w:val="0"/>
      <w:divBdr>
        <w:top w:val="none" w:sz="0" w:space="0" w:color="auto"/>
        <w:left w:val="none" w:sz="0" w:space="0" w:color="auto"/>
        <w:bottom w:val="none" w:sz="0" w:space="0" w:color="auto"/>
        <w:right w:val="none" w:sz="0" w:space="0" w:color="auto"/>
      </w:divBdr>
    </w:div>
    <w:div w:id="289164291">
      <w:bodyDiv w:val="1"/>
      <w:marLeft w:val="0"/>
      <w:marRight w:val="0"/>
      <w:marTop w:val="0"/>
      <w:marBottom w:val="0"/>
      <w:divBdr>
        <w:top w:val="none" w:sz="0" w:space="0" w:color="auto"/>
        <w:left w:val="none" w:sz="0" w:space="0" w:color="auto"/>
        <w:bottom w:val="none" w:sz="0" w:space="0" w:color="auto"/>
        <w:right w:val="none" w:sz="0" w:space="0" w:color="auto"/>
      </w:divBdr>
    </w:div>
    <w:div w:id="373039465">
      <w:bodyDiv w:val="1"/>
      <w:marLeft w:val="0"/>
      <w:marRight w:val="0"/>
      <w:marTop w:val="0"/>
      <w:marBottom w:val="0"/>
      <w:divBdr>
        <w:top w:val="none" w:sz="0" w:space="0" w:color="auto"/>
        <w:left w:val="none" w:sz="0" w:space="0" w:color="auto"/>
        <w:bottom w:val="none" w:sz="0" w:space="0" w:color="auto"/>
        <w:right w:val="none" w:sz="0" w:space="0" w:color="auto"/>
      </w:divBdr>
    </w:div>
    <w:div w:id="381178293">
      <w:bodyDiv w:val="1"/>
      <w:marLeft w:val="0"/>
      <w:marRight w:val="0"/>
      <w:marTop w:val="0"/>
      <w:marBottom w:val="0"/>
      <w:divBdr>
        <w:top w:val="none" w:sz="0" w:space="0" w:color="auto"/>
        <w:left w:val="none" w:sz="0" w:space="0" w:color="auto"/>
        <w:bottom w:val="none" w:sz="0" w:space="0" w:color="auto"/>
        <w:right w:val="none" w:sz="0" w:space="0" w:color="auto"/>
      </w:divBdr>
    </w:div>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427703386">
      <w:bodyDiv w:val="1"/>
      <w:marLeft w:val="0"/>
      <w:marRight w:val="0"/>
      <w:marTop w:val="0"/>
      <w:marBottom w:val="0"/>
      <w:divBdr>
        <w:top w:val="none" w:sz="0" w:space="0" w:color="auto"/>
        <w:left w:val="none" w:sz="0" w:space="0" w:color="auto"/>
        <w:bottom w:val="none" w:sz="0" w:space="0" w:color="auto"/>
        <w:right w:val="none" w:sz="0" w:space="0" w:color="auto"/>
      </w:divBdr>
      <w:divsChild>
        <w:div w:id="1093017313">
          <w:marLeft w:val="547"/>
          <w:marRight w:val="0"/>
          <w:marTop w:val="96"/>
          <w:marBottom w:val="0"/>
          <w:divBdr>
            <w:top w:val="none" w:sz="0" w:space="0" w:color="auto"/>
            <w:left w:val="none" w:sz="0" w:space="0" w:color="auto"/>
            <w:bottom w:val="none" w:sz="0" w:space="0" w:color="auto"/>
            <w:right w:val="none" w:sz="0" w:space="0" w:color="auto"/>
          </w:divBdr>
        </w:div>
        <w:div w:id="292907106">
          <w:marLeft w:val="1166"/>
          <w:marRight w:val="0"/>
          <w:marTop w:val="86"/>
          <w:marBottom w:val="0"/>
          <w:divBdr>
            <w:top w:val="none" w:sz="0" w:space="0" w:color="auto"/>
            <w:left w:val="none" w:sz="0" w:space="0" w:color="auto"/>
            <w:bottom w:val="none" w:sz="0" w:space="0" w:color="auto"/>
            <w:right w:val="none" w:sz="0" w:space="0" w:color="auto"/>
          </w:divBdr>
        </w:div>
      </w:divsChild>
    </w:div>
    <w:div w:id="490756463">
      <w:bodyDiv w:val="1"/>
      <w:marLeft w:val="0"/>
      <w:marRight w:val="0"/>
      <w:marTop w:val="0"/>
      <w:marBottom w:val="0"/>
      <w:divBdr>
        <w:top w:val="none" w:sz="0" w:space="0" w:color="auto"/>
        <w:left w:val="none" w:sz="0" w:space="0" w:color="auto"/>
        <w:bottom w:val="none" w:sz="0" w:space="0" w:color="auto"/>
        <w:right w:val="none" w:sz="0" w:space="0" w:color="auto"/>
      </w:divBdr>
    </w:div>
    <w:div w:id="525799339">
      <w:bodyDiv w:val="1"/>
      <w:marLeft w:val="0"/>
      <w:marRight w:val="0"/>
      <w:marTop w:val="0"/>
      <w:marBottom w:val="0"/>
      <w:divBdr>
        <w:top w:val="none" w:sz="0" w:space="0" w:color="auto"/>
        <w:left w:val="none" w:sz="0" w:space="0" w:color="auto"/>
        <w:bottom w:val="none" w:sz="0" w:space="0" w:color="auto"/>
        <w:right w:val="none" w:sz="0" w:space="0" w:color="auto"/>
      </w:divBdr>
    </w:div>
    <w:div w:id="650597851">
      <w:bodyDiv w:val="1"/>
      <w:marLeft w:val="0"/>
      <w:marRight w:val="0"/>
      <w:marTop w:val="0"/>
      <w:marBottom w:val="0"/>
      <w:divBdr>
        <w:top w:val="none" w:sz="0" w:space="0" w:color="auto"/>
        <w:left w:val="none" w:sz="0" w:space="0" w:color="auto"/>
        <w:bottom w:val="none" w:sz="0" w:space="0" w:color="auto"/>
        <w:right w:val="none" w:sz="0" w:space="0" w:color="auto"/>
      </w:divBdr>
    </w:div>
    <w:div w:id="673191117">
      <w:bodyDiv w:val="1"/>
      <w:marLeft w:val="0"/>
      <w:marRight w:val="0"/>
      <w:marTop w:val="0"/>
      <w:marBottom w:val="0"/>
      <w:divBdr>
        <w:top w:val="none" w:sz="0" w:space="0" w:color="auto"/>
        <w:left w:val="none" w:sz="0" w:space="0" w:color="auto"/>
        <w:bottom w:val="none" w:sz="0" w:space="0" w:color="auto"/>
        <w:right w:val="none" w:sz="0" w:space="0" w:color="auto"/>
      </w:divBdr>
    </w:div>
    <w:div w:id="729766981">
      <w:bodyDiv w:val="1"/>
      <w:marLeft w:val="0"/>
      <w:marRight w:val="0"/>
      <w:marTop w:val="0"/>
      <w:marBottom w:val="0"/>
      <w:divBdr>
        <w:top w:val="none" w:sz="0" w:space="0" w:color="auto"/>
        <w:left w:val="none" w:sz="0" w:space="0" w:color="auto"/>
        <w:bottom w:val="none" w:sz="0" w:space="0" w:color="auto"/>
        <w:right w:val="none" w:sz="0" w:space="0" w:color="auto"/>
      </w:divBdr>
    </w:div>
    <w:div w:id="951941345">
      <w:bodyDiv w:val="1"/>
      <w:marLeft w:val="0"/>
      <w:marRight w:val="0"/>
      <w:marTop w:val="0"/>
      <w:marBottom w:val="0"/>
      <w:divBdr>
        <w:top w:val="none" w:sz="0" w:space="0" w:color="auto"/>
        <w:left w:val="none" w:sz="0" w:space="0" w:color="auto"/>
        <w:bottom w:val="none" w:sz="0" w:space="0" w:color="auto"/>
        <w:right w:val="none" w:sz="0" w:space="0" w:color="auto"/>
      </w:divBdr>
    </w:div>
    <w:div w:id="1239949222">
      <w:bodyDiv w:val="1"/>
      <w:marLeft w:val="0"/>
      <w:marRight w:val="0"/>
      <w:marTop w:val="0"/>
      <w:marBottom w:val="0"/>
      <w:divBdr>
        <w:top w:val="none" w:sz="0" w:space="0" w:color="auto"/>
        <w:left w:val="none" w:sz="0" w:space="0" w:color="auto"/>
        <w:bottom w:val="none" w:sz="0" w:space="0" w:color="auto"/>
        <w:right w:val="none" w:sz="0" w:space="0" w:color="auto"/>
      </w:divBdr>
    </w:div>
    <w:div w:id="1351953400">
      <w:bodyDiv w:val="1"/>
      <w:marLeft w:val="0"/>
      <w:marRight w:val="0"/>
      <w:marTop w:val="0"/>
      <w:marBottom w:val="0"/>
      <w:divBdr>
        <w:top w:val="none" w:sz="0" w:space="0" w:color="auto"/>
        <w:left w:val="none" w:sz="0" w:space="0" w:color="auto"/>
        <w:bottom w:val="none" w:sz="0" w:space="0" w:color="auto"/>
        <w:right w:val="none" w:sz="0" w:space="0" w:color="auto"/>
      </w:divBdr>
    </w:div>
    <w:div w:id="1507283011">
      <w:bodyDiv w:val="1"/>
      <w:marLeft w:val="0"/>
      <w:marRight w:val="0"/>
      <w:marTop w:val="0"/>
      <w:marBottom w:val="0"/>
      <w:divBdr>
        <w:top w:val="none" w:sz="0" w:space="0" w:color="auto"/>
        <w:left w:val="none" w:sz="0" w:space="0" w:color="auto"/>
        <w:bottom w:val="none" w:sz="0" w:space="0" w:color="auto"/>
        <w:right w:val="none" w:sz="0" w:space="0" w:color="auto"/>
      </w:divBdr>
    </w:div>
    <w:div w:id="1662466947">
      <w:bodyDiv w:val="1"/>
      <w:marLeft w:val="0"/>
      <w:marRight w:val="0"/>
      <w:marTop w:val="0"/>
      <w:marBottom w:val="0"/>
      <w:divBdr>
        <w:top w:val="none" w:sz="0" w:space="0" w:color="auto"/>
        <w:left w:val="none" w:sz="0" w:space="0" w:color="auto"/>
        <w:bottom w:val="none" w:sz="0" w:space="0" w:color="auto"/>
        <w:right w:val="none" w:sz="0" w:space="0" w:color="auto"/>
      </w:divBdr>
    </w:div>
    <w:div w:id="1706369316">
      <w:bodyDiv w:val="1"/>
      <w:marLeft w:val="0"/>
      <w:marRight w:val="0"/>
      <w:marTop w:val="0"/>
      <w:marBottom w:val="0"/>
      <w:divBdr>
        <w:top w:val="none" w:sz="0" w:space="0" w:color="auto"/>
        <w:left w:val="none" w:sz="0" w:space="0" w:color="auto"/>
        <w:bottom w:val="none" w:sz="0" w:space="0" w:color="auto"/>
        <w:right w:val="none" w:sz="0" w:space="0" w:color="auto"/>
      </w:divBdr>
    </w:div>
    <w:div w:id="1795522013">
      <w:bodyDiv w:val="1"/>
      <w:marLeft w:val="0"/>
      <w:marRight w:val="0"/>
      <w:marTop w:val="0"/>
      <w:marBottom w:val="0"/>
      <w:divBdr>
        <w:top w:val="none" w:sz="0" w:space="0" w:color="auto"/>
        <w:left w:val="none" w:sz="0" w:space="0" w:color="auto"/>
        <w:bottom w:val="none" w:sz="0" w:space="0" w:color="auto"/>
        <w:right w:val="none" w:sz="0" w:space="0" w:color="auto"/>
      </w:divBdr>
    </w:div>
    <w:div w:id="1868055514">
      <w:bodyDiv w:val="1"/>
      <w:marLeft w:val="0"/>
      <w:marRight w:val="0"/>
      <w:marTop w:val="0"/>
      <w:marBottom w:val="0"/>
      <w:divBdr>
        <w:top w:val="none" w:sz="0" w:space="0" w:color="auto"/>
        <w:left w:val="none" w:sz="0" w:space="0" w:color="auto"/>
        <w:bottom w:val="none" w:sz="0" w:space="0" w:color="auto"/>
        <w:right w:val="none" w:sz="0" w:space="0" w:color="auto"/>
      </w:divBdr>
    </w:div>
    <w:div w:id="1941066688">
      <w:bodyDiv w:val="1"/>
      <w:marLeft w:val="0"/>
      <w:marRight w:val="0"/>
      <w:marTop w:val="0"/>
      <w:marBottom w:val="0"/>
      <w:divBdr>
        <w:top w:val="none" w:sz="0" w:space="0" w:color="auto"/>
        <w:left w:val="none" w:sz="0" w:space="0" w:color="auto"/>
        <w:bottom w:val="none" w:sz="0" w:space="0" w:color="auto"/>
        <w:right w:val="none" w:sz="0" w:space="0" w:color="auto"/>
      </w:divBdr>
    </w:div>
    <w:div w:id="1949845348">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CE25-C583-5743-AF6F-14D81113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1174</Words>
  <Characters>6697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Kate Cavanaugh</cp:lastModifiedBy>
  <cp:revision>2</cp:revision>
  <dcterms:created xsi:type="dcterms:W3CDTF">2017-07-13T23:30:00Z</dcterms:created>
  <dcterms:modified xsi:type="dcterms:W3CDTF">2017-07-13T23:30:00Z</dcterms:modified>
</cp:coreProperties>
</file>